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6CD1" w14:textId="19FE555A" w:rsidR="00521B8F" w:rsidRDefault="00572243" w:rsidP="000B7730">
      <w:pPr>
        <w:jc w:val="center"/>
        <w:rPr>
          <w:b/>
          <w:bCs/>
        </w:rPr>
      </w:pPr>
      <w:bookmarkStart w:id="0" w:name="_GoBack"/>
      <w:bookmarkEnd w:id="0"/>
      <w:r w:rsidRPr="000B7730">
        <w:rPr>
          <w:b/>
          <w:bCs/>
        </w:rPr>
        <w:t>ARTICLE 11 – URBAN OVERLAY DISTRICT</w:t>
      </w:r>
    </w:p>
    <w:p w14:paraId="4D1D2BB2" w14:textId="77777777" w:rsidR="00C940D6" w:rsidRPr="000B7730" w:rsidRDefault="00C940D6" w:rsidP="000B7730">
      <w:pPr>
        <w:jc w:val="center"/>
        <w:rPr>
          <w:b/>
          <w:bCs/>
        </w:rPr>
      </w:pPr>
    </w:p>
    <w:p w14:paraId="0731D9F3" w14:textId="09517AC4" w:rsidR="00572243" w:rsidRPr="000B7730" w:rsidRDefault="00572243">
      <w:pPr>
        <w:rPr>
          <w:b/>
          <w:bCs/>
        </w:rPr>
      </w:pPr>
      <w:r w:rsidRPr="000B7730">
        <w:rPr>
          <w:b/>
          <w:bCs/>
        </w:rPr>
        <w:t>11.01 PURPOSE</w:t>
      </w:r>
    </w:p>
    <w:p w14:paraId="15DF57CB" w14:textId="078B5219" w:rsidR="00572243" w:rsidRDefault="00572243">
      <w:r>
        <w:t>The purpose of the Urban Overlay District (UO) is to promote and protect the public health, safety, comfort, convenience, morals and general welfare by providing for consistent and coordinated standards of development for land adjacent to or within one-half (1/2) of one mile of the corporate limits of the City of Crawfordsville.  These standards are a tool designed to ensure harmonious development of land near the City of Crawfordsville and to promote development which is structurally and aesthetically similar to development in the City.  The district’s character, vitality, quality and functionality are important to Montgomery County in the promotion of economic development, a high quality of life, and harmonious development, and the creation of the district will accomplish these purposes through:</w:t>
      </w:r>
    </w:p>
    <w:p w14:paraId="06D939DD" w14:textId="4C6624DB" w:rsidR="00572243" w:rsidRDefault="00572243">
      <w:r>
        <w:tab/>
        <w:t>1.  the promotion of coordinated development in land near the boundaries of the City;</w:t>
      </w:r>
    </w:p>
    <w:p w14:paraId="05A0BC68" w14:textId="1834F5F0" w:rsidR="00572243" w:rsidRDefault="00572243">
      <w:r>
        <w:tab/>
        <w:t>2.  the establishment of high standards for development on properties in the district, including buildings, signs, parking, lighting and other site improvements;</w:t>
      </w:r>
    </w:p>
    <w:p w14:paraId="42CBC49D" w14:textId="328FC8BA" w:rsidR="00572243" w:rsidRDefault="00572243">
      <w:r>
        <w:tab/>
        <w:t>3.  the establishment of development and use standards that will promote the quality, scale, character, and type of development consistent with existing and future development in the City.</w:t>
      </w:r>
    </w:p>
    <w:p w14:paraId="5114654E" w14:textId="167F4418" w:rsidR="00572243" w:rsidRDefault="00572243"/>
    <w:p w14:paraId="2B640FA2" w14:textId="65BF897E" w:rsidR="00572243" w:rsidRPr="000B7730" w:rsidRDefault="00572243">
      <w:pPr>
        <w:rPr>
          <w:b/>
          <w:bCs/>
        </w:rPr>
      </w:pPr>
      <w:r w:rsidRPr="000B7730">
        <w:rPr>
          <w:b/>
          <w:bCs/>
        </w:rPr>
        <w:t>11.02 BOUNDARIES</w:t>
      </w:r>
    </w:p>
    <w:p w14:paraId="000A8ABB" w14:textId="00CB06EF" w:rsidR="00572243" w:rsidRDefault="00572243">
      <w:r>
        <w:t xml:space="preserve">The boundaries of the Urban Overlay District are those areas of the unincorporated area of Montgomery County adjacent to and within one-half (1/2) of one mile of the corporate boundaries of the City of Crawfordsville.  If any portion of a parcel is located in the boundaries of the </w:t>
      </w:r>
      <w:r w:rsidR="003D0A4C">
        <w:t>Urban Overlay District, the standards, rules and regulations of the District apply to the entire parcel.</w:t>
      </w:r>
    </w:p>
    <w:p w14:paraId="07D5BFF1" w14:textId="2E312E1C" w:rsidR="003D0A4C" w:rsidRDefault="003D0A4C"/>
    <w:p w14:paraId="2FC2B7EF" w14:textId="30365D2E" w:rsidR="003D0A4C" w:rsidRPr="000B7730" w:rsidRDefault="003D0A4C">
      <w:pPr>
        <w:rPr>
          <w:b/>
          <w:bCs/>
        </w:rPr>
      </w:pPr>
      <w:r w:rsidRPr="000B7730">
        <w:rPr>
          <w:b/>
          <w:bCs/>
        </w:rPr>
        <w:t>11.03 APPLICATION</w:t>
      </w:r>
    </w:p>
    <w:p w14:paraId="22E7E8FC" w14:textId="485306A9" w:rsidR="003D0A4C" w:rsidRDefault="003D0A4C">
      <w:r>
        <w:t>The standards and regulations contained in this Article do not affect the use of the land.  Rather, these standards and regulations impose additional development standards over the underlying use of the land as provided for in the Montgomery County Zoning Ordinance.  The standards and regulations apply only to development occurring after the effective date of this Article.</w:t>
      </w:r>
    </w:p>
    <w:p w14:paraId="34335551" w14:textId="77777777" w:rsidR="000B7730" w:rsidRDefault="000B7730"/>
    <w:p w14:paraId="513A323F" w14:textId="1622C43A" w:rsidR="003D0A4C" w:rsidRPr="000B7730" w:rsidRDefault="003D0A4C">
      <w:pPr>
        <w:rPr>
          <w:b/>
          <w:bCs/>
        </w:rPr>
      </w:pPr>
      <w:r w:rsidRPr="000B7730">
        <w:rPr>
          <w:b/>
          <w:bCs/>
        </w:rPr>
        <w:t>11.04  OPEN SPACE</w:t>
      </w:r>
    </w:p>
    <w:p w14:paraId="4ECEA429" w14:textId="305CDFB1" w:rsidR="003D0A4C" w:rsidRDefault="003D0A4C">
      <w:r>
        <w:t>All Planned Unit Developments in the District must provide for open space which is at least ten percent (10%) of the gross acreage of the Planned Unit Development, less rights-of-way.  All such open space must be designated for recreational or scenic use, landscape buffers for adjoining uses, or set aside for future public facilities.</w:t>
      </w:r>
    </w:p>
    <w:p w14:paraId="488C3C01" w14:textId="243CD075" w:rsidR="003D0A4C" w:rsidRPr="000B7730" w:rsidRDefault="003D0A4C">
      <w:pPr>
        <w:rPr>
          <w:b/>
          <w:bCs/>
        </w:rPr>
      </w:pPr>
      <w:r w:rsidRPr="000B7730">
        <w:rPr>
          <w:b/>
          <w:bCs/>
        </w:rPr>
        <w:lastRenderedPageBreak/>
        <w:t>11.05 PLANNED UNIT DEVELOPMENT STANDARDS</w:t>
      </w:r>
    </w:p>
    <w:p w14:paraId="4C15E215" w14:textId="36CD2030" w:rsidR="003D0A4C" w:rsidRDefault="003D0A4C">
      <w:r>
        <w:t>All Planned Unit Developments for residential or mixed-use development must be at least five (5) acres.  All residential lots in a PUD must have lot sizes of at least 7,000 square feet and must have a minimum lot width of at least 60 feet.  If adjacent to single-family neighborhood(s), the PUD must provide that all two-family and multi-family uses are located in the center of the PUD</w:t>
      </w:r>
      <w:r w:rsidR="00D30FC7">
        <w:t xml:space="preserve"> rather than in the area adjacent to the single-family neighborhood.  All mixed-use PUDs which contain residential use must contain at least fifty percent (50%) single family use and not more than thirty percent (30%) for two-family or multi-family use and not more than twenty percent (20%) for non-residential use.  For purposes of calculating the percentage of use, the total number of square feet of use will be used.</w:t>
      </w:r>
    </w:p>
    <w:p w14:paraId="7658A6C7" w14:textId="77777777" w:rsidR="000B7730" w:rsidRDefault="000B7730"/>
    <w:p w14:paraId="60BF0E56" w14:textId="32574886" w:rsidR="00D30FC7" w:rsidRPr="000B7730" w:rsidRDefault="00D30FC7">
      <w:pPr>
        <w:rPr>
          <w:b/>
          <w:bCs/>
        </w:rPr>
      </w:pPr>
      <w:r w:rsidRPr="000B7730">
        <w:rPr>
          <w:b/>
          <w:bCs/>
        </w:rPr>
        <w:t>11.06 BULK STANDARDS</w:t>
      </w:r>
    </w:p>
    <w:p w14:paraId="59860D27" w14:textId="02ABB95C" w:rsidR="00D30FC7" w:rsidRDefault="00D30FC7">
      <w:r>
        <w:t>For purposes of this district, the following standards apply:</w:t>
      </w:r>
    </w:p>
    <w:tbl>
      <w:tblPr>
        <w:tblStyle w:val="TableGrid"/>
        <w:tblW w:w="0" w:type="auto"/>
        <w:tblLook w:val="04A0" w:firstRow="1" w:lastRow="0" w:firstColumn="1" w:lastColumn="0" w:noHBand="0" w:noVBand="1"/>
      </w:tblPr>
      <w:tblGrid>
        <w:gridCol w:w="4315"/>
        <w:gridCol w:w="1260"/>
        <w:gridCol w:w="1230"/>
        <w:gridCol w:w="1290"/>
        <w:gridCol w:w="1255"/>
      </w:tblGrid>
      <w:tr w:rsidR="00D30FC7" w14:paraId="4520DACF" w14:textId="5D2B975A" w:rsidTr="00D30FC7">
        <w:tc>
          <w:tcPr>
            <w:tcW w:w="4315" w:type="dxa"/>
          </w:tcPr>
          <w:p w14:paraId="706685D4" w14:textId="221CE2BF" w:rsidR="00D30FC7" w:rsidRDefault="00D30FC7">
            <w:r>
              <w:t>Standard</w:t>
            </w:r>
            <w:r w:rsidR="00853205">
              <w:t xml:space="preserve"> (in feet)</w:t>
            </w:r>
          </w:p>
        </w:tc>
        <w:tc>
          <w:tcPr>
            <w:tcW w:w="1260" w:type="dxa"/>
          </w:tcPr>
          <w:p w14:paraId="28290EF4" w14:textId="0DF21B12" w:rsidR="00D30FC7" w:rsidRDefault="00D30FC7">
            <w:r>
              <w:t>Agricultural</w:t>
            </w:r>
          </w:p>
        </w:tc>
        <w:tc>
          <w:tcPr>
            <w:tcW w:w="1230" w:type="dxa"/>
          </w:tcPr>
          <w:p w14:paraId="4A2F60B6" w14:textId="40C5A58E" w:rsidR="00D30FC7" w:rsidRDefault="00D30FC7">
            <w:r>
              <w:t xml:space="preserve">Residential </w:t>
            </w:r>
          </w:p>
        </w:tc>
        <w:tc>
          <w:tcPr>
            <w:tcW w:w="1290" w:type="dxa"/>
          </w:tcPr>
          <w:p w14:paraId="169DF731" w14:textId="2115C8AD" w:rsidR="00D30FC7" w:rsidRDefault="00D30FC7">
            <w:r>
              <w:t>Commercial</w:t>
            </w:r>
          </w:p>
        </w:tc>
        <w:tc>
          <w:tcPr>
            <w:tcW w:w="1255" w:type="dxa"/>
          </w:tcPr>
          <w:p w14:paraId="6C5A362D" w14:textId="4371384D" w:rsidR="00D30FC7" w:rsidRDefault="00D30FC7">
            <w:r>
              <w:t>Industrial</w:t>
            </w:r>
          </w:p>
        </w:tc>
      </w:tr>
      <w:tr w:rsidR="00D30FC7" w14:paraId="3705451A" w14:textId="5BDD5E6C" w:rsidTr="00D30FC7">
        <w:tc>
          <w:tcPr>
            <w:tcW w:w="4315" w:type="dxa"/>
          </w:tcPr>
          <w:p w14:paraId="18770008" w14:textId="0714D470" w:rsidR="00D30FC7" w:rsidRDefault="00D30FC7">
            <w:r>
              <w:t>Minimum Lot Size</w:t>
            </w:r>
          </w:p>
        </w:tc>
        <w:tc>
          <w:tcPr>
            <w:tcW w:w="1260" w:type="dxa"/>
          </w:tcPr>
          <w:p w14:paraId="2848FBAA" w14:textId="77777777" w:rsidR="00D30FC7" w:rsidRDefault="00D30FC7"/>
        </w:tc>
        <w:tc>
          <w:tcPr>
            <w:tcW w:w="1230" w:type="dxa"/>
          </w:tcPr>
          <w:p w14:paraId="12EB6A8C" w14:textId="77777777" w:rsidR="00D30FC7" w:rsidRDefault="00D30FC7"/>
        </w:tc>
        <w:tc>
          <w:tcPr>
            <w:tcW w:w="1290" w:type="dxa"/>
          </w:tcPr>
          <w:p w14:paraId="6C6342C4" w14:textId="77777777" w:rsidR="00D30FC7" w:rsidRDefault="00D30FC7"/>
        </w:tc>
        <w:tc>
          <w:tcPr>
            <w:tcW w:w="1255" w:type="dxa"/>
          </w:tcPr>
          <w:p w14:paraId="567C3BA9" w14:textId="77777777" w:rsidR="00D30FC7" w:rsidRDefault="00D30FC7"/>
        </w:tc>
      </w:tr>
      <w:tr w:rsidR="00D30FC7" w14:paraId="436A2683" w14:textId="7709A7D8" w:rsidTr="00D30FC7">
        <w:tc>
          <w:tcPr>
            <w:tcW w:w="4315" w:type="dxa"/>
          </w:tcPr>
          <w:p w14:paraId="6038BF80" w14:textId="05592735" w:rsidR="00D30FC7" w:rsidRDefault="00D30FC7">
            <w:r>
              <w:t xml:space="preserve">  A.  Single Family with sewer</w:t>
            </w:r>
          </w:p>
        </w:tc>
        <w:tc>
          <w:tcPr>
            <w:tcW w:w="1260" w:type="dxa"/>
          </w:tcPr>
          <w:p w14:paraId="7C176F28" w14:textId="608FE1E7" w:rsidR="00D30FC7" w:rsidRDefault="00D30FC7">
            <w:r>
              <w:t>8,500</w:t>
            </w:r>
          </w:p>
        </w:tc>
        <w:tc>
          <w:tcPr>
            <w:tcW w:w="1230" w:type="dxa"/>
          </w:tcPr>
          <w:p w14:paraId="2A1053AF" w14:textId="76298078" w:rsidR="00D30FC7" w:rsidRDefault="00D30FC7">
            <w:r>
              <w:t>8,500</w:t>
            </w:r>
          </w:p>
        </w:tc>
        <w:tc>
          <w:tcPr>
            <w:tcW w:w="1290" w:type="dxa"/>
          </w:tcPr>
          <w:p w14:paraId="4F6727AE" w14:textId="77777777" w:rsidR="00D30FC7" w:rsidRDefault="00D30FC7"/>
        </w:tc>
        <w:tc>
          <w:tcPr>
            <w:tcW w:w="1255" w:type="dxa"/>
          </w:tcPr>
          <w:p w14:paraId="4879076C" w14:textId="77777777" w:rsidR="00D30FC7" w:rsidRDefault="00D30FC7"/>
        </w:tc>
      </w:tr>
      <w:tr w:rsidR="00D30FC7" w14:paraId="6B2F15ED" w14:textId="661EA11C" w:rsidTr="00D30FC7">
        <w:tc>
          <w:tcPr>
            <w:tcW w:w="4315" w:type="dxa"/>
          </w:tcPr>
          <w:p w14:paraId="5A54436F" w14:textId="7D4752F8" w:rsidR="00D30FC7" w:rsidRDefault="00D30FC7">
            <w:r>
              <w:t xml:space="preserve">  B. Per Unit with sewer</w:t>
            </w:r>
          </w:p>
        </w:tc>
        <w:tc>
          <w:tcPr>
            <w:tcW w:w="1260" w:type="dxa"/>
          </w:tcPr>
          <w:p w14:paraId="6DABDCFA" w14:textId="77777777" w:rsidR="00D30FC7" w:rsidRDefault="00D30FC7"/>
        </w:tc>
        <w:tc>
          <w:tcPr>
            <w:tcW w:w="1230" w:type="dxa"/>
          </w:tcPr>
          <w:p w14:paraId="754952FC" w14:textId="6DF3F705" w:rsidR="00D30FC7" w:rsidRDefault="00D30FC7">
            <w:r>
              <w:t>3,500</w:t>
            </w:r>
          </w:p>
        </w:tc>
        <w:tc>
          <w:tcPr>
            <w:tcW w:w="1290" w:type="dxa"/>
          </w:tcPr>
          <w:p w14:paraId="19018A9B" w14:textId="77777777" w:rsidR="00D30FC7" w:rsidRDefault="00D30FC7"/>
        </w:tc>
        <w:tc>
          <w:tcPr>
            <w:tcW w:w="1255" w:type="dxa"/>
          </w:tcPr>
          <w:p w14:paraId="40179812" w14:textId="20449E7D" w:rsidR="00D30FC7" w:rsidRDefault="00D30FC7"/>
        </w:tc>
      </w:tr>
      <w:tr w:rsidR="00D30FC7" w14:paraId="1AB438F3" w14:textId="77777777" w:rsidTr="00D30FC7">
        <w:tc>
          <w:tcPr>
            <w:tcW w:w="4315" w:type="dxa"/>
          </w:tcPr>
          <w:p w14:paraId="0BA702AD" w14:textId="584598ED" w:rsidR="00D30FC7" w:rsidRDefault="00D30FC7">
            <w:r>
              <w:t xml:space="preserve">  C. Single Family without sewer</w:t>
            </w:r>
          </w:p>
        </w:tc>
        <w:tc>
          <w:tcPr>
            <w:tcW w:w="1260" w:type="dxa"/>
          </w:tcPr>
          <w:p w14:paraId="211E6018" w14:textId="2E0AB92E" w:rsidR="00D30FC7" w:rsidRDefault="00D30FC7">
            <w:r>
              <w:t>43,560</w:t>
            </w:r>
          </w:p>
        </w:tc>
        <w:tc>
          <w:tcPr>
            <w:tcW w:w="1230" w:type="dxa"/>
          </w:tcPr>
          <w:p w14:paraId="255949DE" w14:textId="190C99CC" w:rsidR="00D30FC7" w:rsidRDefault="00D30FC7">
            <w:r>
              <w:t>43,560</w:t>
            </w:r>
          </w:p>
        </w:tc>
        <w:tc>
          <w:tcPr>
            <w:tcW w:w="1290" w:type="dxa"/>
          </w:tcPr>
          <w:p w14:paraId="6D73989F" w14:textId="0D62BEF6" w:rsidR="00D30FC7" w:rsidRDefault="00D30FC7"/>
        </w:tc>
        <w:tc>
          <w:tcPr>
            <w:tcW w:w="1255" w:type="dxa"/>
          </w:tcPr>
          <w:p w14:paraId="06B2F6D7" w14:textId="77777777" w:rsidR="00D30FC7" w:rsidRDefault="00D30FC7"/>
        </w:tc>
      </w:tr>
      <w:tr w:rsidR="00D30FC7" w14:paraId="4EA8DF54" w14:textId="77777777" w:rsidTr="00D30FC7">
        <w:tc>
          <w:tcPr>
            <w:tcW w:w="4315" w:type="dxa"/>
          </w:tcPr>
          <w:p w14:paraId="1E9BB097" w14:textId="028B9A34" w:rsidR="00D30FC7" w:rsidRDefault="00D30FC7">
            <w:r>
              <w:t>Lot Width</w:t>
            </w:r>
          </w:p>
        </w:tc>
        <w:tc>
          <w:tcPr>
            <w:tcW w:w="1260" w:type="dxa"/>
          </w:tcPr>
          <w:p w14:paraId="55D24DFF" w14:textId="7928DC21" w:rsidR="00D30FC7" w:rsidRDefault="00D30FC7">
            <w:r>
              <w:t>250</w:t>
            </w:r>
          </w:p>
        </w:tc>
        <w:tc>
          <w:tcPr>
            <w:tcW w:w="1230" w:type="dxa"/>
          </w:tcPr>
          <w:p w14:paraId="000711DF" w14:textId="095F170D" w:rsidR="00D30FC7" w:rsidRDefault="00D30FC7">
            <w:r>
              <w:t>60</w:t>
            </w:r>
          </w:p>
        </w:tc>
        <w:tc>
          <w:tcPr>
            <w:tcW w:w="1290" w:type="dxa"/>
          </w:tcPr>
          <w:p w14:paraId="2A455082" w14:textId="204BF081" w:rsidR="00D30FC7" w:rsidRDefault="00D30FC7">
            <w:r>
              <w:t>200</w:t>
            </w:r>
          </w:p>
        </w:tc>
        <w:tc>
          <w:tcPr>
            <w:tcW w:w="1255" w:type="dxa"/>
          </w:tcPr>
          <w:p w14:paraId="402E636B" w14:textId="2F80190B" w:rsidR="00D30FC7" w:rsidRDefault="00D30FC7">
            <w:r>
              <w:t>100</w:t>
            </w:r>
          </w:p>
        </w:tc>
      </w:tr>
      <w:tr w:rsidR="00D30FC7" w14:paraId="1BF5E113" w14:textId="77777777" w:rsidTr="00D30FC7">
        <w:tc>
          <w:tcPr>
            <w:tcW w:w="4315" w:type="dxa"/>
          </w:tcPr>
          <w:p w14:paraId="30F5F6C3" w14:textId="1C320281" w:rsidR="00D30FC7" w:rsidRDefault="00D30FC7">
            <w:r>
              <w:t>Front Yard Set Back</w:t>
            </w:r>
          </w:p>
        </w:tc>
        <w:tc>
          <w:tcPr>
            <w:tcW w:w="1260" w:type="dxa"/>
          </w:tcPr>
          <w:p w14:paraId="6708715A" w14:textId="3EC207FB" w:rsidR="00D30FC7" w:rsidRDefault="00D30FC7">
            <w:r>
              <w:t>100</w:t>
            </w:r>
          </w:p>
        </w:tc>
        <w:tc>
          <w:tcPr>
            <w:tcW w:w="1230" w:type="dxa"/>
          </w:tcPr>
          <w:p w14:paraId="49F173B8" w14:textId="357EB529" w:rsidR="00D30FC7" w:rsidRDefault="00D30FC7">
            <w:r>
              <w:t>25</w:t>
            </w:r>
          </w:p>
        </w:tc>
        <w:tc>
          <w:tcPr>
            <w:tcW w:w="1290" w:type="dxa"/>
          </w:tcPr>
          <w:p w14:paraId="4EF13482" w14:textId="55EF6E5C" w:rsidR="00D30FC7" w:rsidRDefault="00D30FC7">
            <w:r>
              <w:t>40</w:t>
            </w:r>
          </w:p>
        </w:tc>
        <w:tc>
          <w:tcPr>
            <w:tcW w:w="1255" w:type="dxa"/>
          </w:tcPr>
          <w:p w14:paraId="167830D4" w14:textId="7904D3D1" w:rsidR="00D30FC7" w:rsidRDefault="00853205">
            <w:r>
              <w:t>30</w:t>
            </w:r>
          </w:p>
        </w:tc>
      </w:tr>
      <w:tr w:rsidR="00853205" w14:paraId="5913AC02" w14:textId="77777777" w:rsidTr="00D30FC7">
        <w:tc>
          <w:tcPr>
            <w:tcW w:w="4315" w:type="dxa"/>
          </w:tcPr>
          <w:p w14:paraId="46632689" w14:textId="627395F5" w:rsidR="00853205" w:rsidRDefault="00853205">
            <w:r>
              <w:t>Side Set Back</w:t>
            </w:r>
          </w:p>
        </w:tc>
        <w:tc>
          <w:tcPr>
            <w:tcW w:w="1260" w:type="dxa"/>
          </w:tcPr>
          <w:p w14:paraId="64CA3035" w14:textId="256090DB" w:rsidR="00853205" w:rsidRDefault="00853205">
            <w:r>
              <w:t>50</w:t>
            </w:r>
          </w:p>
        </w:tc>
        <w:tc>
          <w:tcPr>
            <w:tcW w:w="1230" w:type="dxa"/>
          </w:tcPr>
          <w:p w14:paraId="3BA8444F" w14:textId="04A1F316" w:rsidR="00853205" w:rsidRDefault="00853205">
            <w:r>
              <w:t>5</w:t>
            </w:r>
          </w:p>
        </w:tc>
        <w:tc>
          <w:tcPr>
            <w:tcW w:w="1290" w:type="dxa"/>
          </w:tcPr>
          <w:p w14:paraId="4151697C" w14:textId="4E2F5418" w:rsidR="00853205" w:rsidRDefault="00853205">
            <w:r>
              <w:t>20</w:t>
            </w:r>
          </w:p>
        </w:tc>
        <w:tc>
          <w:tcPr>
            <w:tcW w:w="1255" w:type="dxa"/>
          </w:tcPr>
          <w:p w14:paraId="6B488B44" w14:textId="64BB3503" w:rsidR="00853205" w:rsidRDefault="00853205">
            <w:r>
              <w:t>30</w:t>
            </w:r>
          </w:p>
        </w:tc>
      </w:tr>
      <w:tr w:rsidR="00853205" w14:paraId="664F1BDC" w14:textId="77777777" w:rsidTr="00D30FC7">
        <w:tc>
          <w:tcPr>
            <w:tcW w:w="4315" w:type="dxa"/>
          </w:tcPr>
          <w:p w14:paraId="3A9A4266" w14:textId="7CA55196" w:rsidR="00853205" w:rsidRDefault="00853205">
            <w:r>
              <w:t>Rear Yard Set Back</w:t>
            </w:r>
          </w:p>
        </w:tc>
        <w:tc>
          <w:tcPr>
            <w:tcW w:w="1260" w:type="dxa"/>
          </w:tcPr>
          <w:p w14:paraId="4AF2079D" w14:textId="12AF8136" w:rsidR="00853205" w:rsidRDefault="00853205">
            <w:r>
              <w:t>50</w:t>
            </w:r>
          </w:p>
        </w:tc>
        <w:tc>
          <w:tcPr>
            <w:tcW w:w="1230" w:type="dxa"/>
          </w:tcPr>
          <w:p w14:paraId="421AF398" w14:textId="046D7688" w:rsidR="00853205" w:rsidRDefault="00853205">
            <w:r>
              <w:t>25</w:t>
            </w:r>
          </w:p>
        </w:tc>
        <w:tc>
          <w:tcPr>
            <w:tcW w:w="1290" w:type="dxa"/>
          </w:tcPr>
          <w:p w14:paraId="1EFFD4BB" w14:textId="35B2FD53" w:rsidR="00853205" w:rsidRDefault="00853205">
            <w:r>
              <w:t>40</w:t>
            </w:r>
          </w:p>
        </w:tc>
        <w:tc>
          <w:tcPr>
            <w:tcW w:w="1255" w:type="dxa"/>
          </w:tcPr>
          <w:p w14:paraId="5790BA7C" w14:textId="41DB365D" w:rsidR="00853205" w:rsidRDefault="00853205">
            <w:r>
              <w:t>30</w:t>
            </w:r>
          </w:p>
        </w:tc>
      </w:tr>
      <w:tr w:rsidR="00853205" w14:paraId="16314E2A" w14:textId="77777777" w:rsidTr="00D30FC7">
        <w:tc>
          <w:tcPr>
            <w:tcW w:w="4315" w:type="dxa"/>
          </w:tcPr>
          <w:p w14:paraId="21CC2F77" w14:textId="3ABA6AA8" w:rsidR="00853205" w:rsidRDefault="00853205">
            <w:r>
              <w:t xml:space="preserve">Maximum Height – Principal </w:t>
            </w:r>
          </w:p>
        </w:tc>
        <w:tc>
          <w:tcPr>
            <w:tcW w:w="1260" w:type="dxa"/>
          </w:tcPr>
          <w:p w14:paraId="3145B87B" w14:textId="6C798799" w:rsidR="00853205" w:rsidRDefault="00853205">
            <w:r>
              <w:t>35</w:t>
            </w:r>
          </w:p>
        </w:tc>
        <w:tc>
          <w:tcPr>
            <w:tcW w:w="1230" w:type="dxa"/>
          </w:tcPr>
          <w:p w14:paraId="5AC30EC3" w14:textId="69708948" w:rsidR="00853205" w:rsidRDefault="00853205">
            <w:r>
              <w:t>35</w:t>
            </w:r>
          </w:p>
        </w:tc>
        <w:tc>
          <w:tcPr>
            <w:tcW w:w="1290" w:type="dxa"/>
          </w:tcPr>
          <w:p w14:paraId="081A4501" w14:textId="0DEE489C" w:rsidR="00853205" w:rsidRDefault="00853205">
            <w:r>
              <w:t>35</w:t>
            </w:r>
          </w:p>
        </w:tc>
        <w:tc>
          <w:tcPr>
            <w:tcW w:w="1255" w:type="dxa"/>
          </w:tcPr>
          <w:p w14:paraId="72D5FBFF" w14:textId="6572AED4" w:rsidR="00853205" w:rsidRDefault="00853205">
            <w:r>
              <w:t>55</w:t>
            </w:r>
          </w:p>
        </w:tc>
      </w:tr>
      <w:tr w:rsidR="00853205" w14:paraId="31148FD3" w14:textId="77777777" w:rsidTr="00D30FC7">
        <w:tc>
          <w:tcPr>
            <w:tcW w:w="4315" w:type="dxa"/>
          </w:tcPr>
          <w:p w14:paraId="31538758" w14:textId="018979F3" w:rsidR="00853205" w:rsidRDefault="00853205">
            <w:r>
              <w:t>Maximum Height – Accessory</w:t>
            </w:r>
          </w:p>
        </w:tc>
        <w:tc>
          <w:tcPr>
            <w:tcW w:w="1260" w:type="dxa"/>
          </w:tcPr>
          <w:p w14:paraId="6C7BFCAE" w14:textId="5599EC2C" w:rsidR="00853205" w:rsidRDefault="00853205">
            <w:r>
              <w:t>None</w:t>
            </w:r>
          </w:p>
        </w:tc>
        <w:tc>
          <w:tcPr>
            <w:tcW w:w="1230" w:type="dxa"/>
          </w:tcPr>
          <w:p w14:paraId="6B998483" w14:textId="41B6E236" w:rsidR="00853205" w:rsidRDefault="00853205">
            <w:r>
              <w:t>18</w:t>
            </w:r>
          </w:p>
        </w:tc>
        <w:tc>
          <w:tcPr>
            <w:tcW w:w="1290" w:type="dxa"/>
          </w:tcPr>
          <w:p w14:paraId="7B7D859B" w14:textId="496733E0" w:rsidR="00853205" w:rsidRDefault="00853205">
            <w:r>
              <w:t>18</w:t>
            </w:r>
          </w:p>
        </w:tc>
        <w:tc>
          <w:tcPr>
            <w:tcW w:w="1255" w:type="dxa"/>
          </w:tcPr>
          <w:p w14:paraId="197B7A6E" w14:textId="3C1DB533" w:rsidR="00853205" w:rsidRDefault="00853205">
            <w:r>
              <w:t>18</w:t>
            </w:r>
          </w:p>
        </w:tc>
      </w:tr>
      <w:tr w:rsidR="00853205" w14:paraId="46C836FB" w14:textId="77777777" w:rsidTr="00D30FC7">
        <w:tc>
          <w:tcPr>
            <w:tcW w:w="4315" w:type="dxa"/>
          </w:tcPr>
          <w:p w14:paraId="5639244C" w14:textId="56302565" w:rsidR="00853205" w:rsidRDefault="00853205">
            <w:r>
              <w:t>Minimum Floor Area – single family</w:t>
            </w:r>
          </w:p>
        </w:tc>
        <w:tc>
          <w:tcPr>
            <w:tcW w:w="1260" w:type="dxa"/>
          </w:tcPr>
          <w:p w14:paraId="69324E13" w14:textId="77777777" w:rsidR="00853205" w:rsidRDefault="00853205"/>
        </w:tc>
        <w:tc>
          <w:tcPr>
            <w:tcW w:w="1230" w:type="dxa"/>
          </w:tcPr>
          <w:p w14:paraId="49EA2045" w14:textId="5BC1B827" w:rsidR="00853205" w:rsidRDefault="00853205">
            <w:r>
              <w:t>950</w:t>
            </w:r>
          </w:p>
        </w:tc>
        <w:tc>
          <w:tcPr>
            <w:tcW w:w="1290" w:type="dxa"/>
          </w:tcPr>
          <w:p w14:paraId="35E4CA17" w14:textId="77777777" w:rsidR="00853205" w:rsidRDefault="00853205"/>
        </w:tc>
        <w:tc>
          <w:tcPr>
            <w:tcW w:w="1255" w:type="dxa"/>
          </w:tcPr>
          <w:p w14:paraId="252991B9" w14:textId="77777777" w:rsidR="00853205" w:rsidRDefault="00853205"/>
        </w:tc>
      </w:tr>
      <w:tr w:rsidR="00853205" w14:paraId="1F54A2E0" w14:textId="77777777" w:rsidTr="00D30FC7">
        <w:tc>
          <w:tcPr>
            <w:tcW w:w="4315" w:type="dxa"/>
          </w:tcPr>
          <w:p w14:paraId="1A42F056" w14:textId="1EA7E055" w:rsidR="00853205" w:rsidRDefault="00853205">
            <w:r>
              <w:t>Minimum Floor Area – 2-family/multi-family</w:t>
            </w:r>
          </w:p>
        </w:tc>
        <w:tc>
          <w:tcPr>
            <w:tcW w:w="1260" w:type="dxa"/>
          </w:tcPr>
          <w:p w14:paraId="150AC107" w14:textId="77777777" w:rsidR="00853205" w:rsidRDefault="00853205"/>
        </w:tc>
        <w:tc>
          <w:tcPr>
            <w:tcW w:w="1230" w:type="dxa"/>
          </w:tcPr>
          <w:p w14:paraId="589BDC58" w14:textId="13000ECD" w:rsidR="00853205" w:rsidRDefault="00853205">
            <w:r>
              <w:t>500/unit</w:t>
            </w:r>
          </w:p>
        </w:tc>
        <w:tc>
          <w:tcPr>
            <w:tcW w:w="1290" w:type="dxa"/>
          </w:tcPr>
          <w:p w14:paraId="6E60FBA6" w14:textId="77777777" w:rsidR="00853205" w:rsidRDefault="00853205"/>
        </w:tc>
        <w:tc>
          <w:tcPr>
            <w:tcW w:w="1255" w:type="dxa"/>
          </w:tcPr>
          <w:p w14:paraId="19A30DC9" w14:textId="77777777" w:rsidR="00853205" w:rsidRDefault="00853205"/>
        </w:tc>
      </w:tr>
    </w:tbl>
    <w:p w14:paraId="10F2B7BF" w14:textId="42031C39" w:rsidR="00D30FC7" w:rsidRDefault="00D30FC7"/>
    <w:p w14:paraId="0C5EA155" w14:textId="77777777" w:rsidR="000B7730" w:rsidRDefault="000B7730"/>
    <w:p w14:paraId="04133837" w14:textId="6D421B94" w:rsidR="00D30FC7" w:rsidRPr="000B7730" w:rsidRDefault="00853205">
      <w:pPr>
        <w:rPr>
          <w:b/>
          <w:bCs/>
        </w:rPr>
      </w:pPr>
      <w:r w:rsidRPr="000B7730">
        <w:rPr>
          <w:b/>
          <w:bCs/>
        </w:rPr>
        <w:t>11.07 PARKING</w:t>
      </w:r>
    </w:p>
    <w:p w14:paraId="1C28F148" w14:textId="175F57E2" w:rsidR="00853205" w:rsidRDefault="000B7730" w:rsidP="000B7730">
      <w:pPr>
        <w:ind w:firstLine="720"/>
      </w:pPr>
      <w:r>
        <w:t xml:space="preserve">(A)  Parking Space Size.  </w:t>
      </w:r>
      <w:r w:rsidR="00853205">
        <w:t>All off-street parking must meet the following standards:</w:t>
      </w:r>
    </w:p>
    <w:tbl>
      <w:tblPr>
        <w:tblStyle w:val="TableGrid"/>
        <w:tblW w:w="0" w:type="auto"/>
        <w:tblLook w:val="04A0" w:firstRow="1" w:lastRow="0" w:firstColumn="1" w:lastColumn="0" w:noHBand="0" w:noVBand="1"/>
      </w:tblPr>
      <w:tblGrid>
        <w:gridCol w:w="2425"/>
        <w:gridCol w:w="1980"/>
      </w:tblGrid>
      <w:tr w:rsidR="00853205" w14:paraId="4BBE1592" w14:textId="77777777" w:rsidTr="00853205">
        <w:tc>
          <w:tcPr>
            <w:tcW w:w="2425" w:type="dxa"/>
          </w:tcPr>
          <w:p w14:paraId="344E9E41" w14:textId="55C36C28" w:rsidR="00853205" w:rsidRDefault="00853205">
            <w:r>
              <w:t>Type</w:t>
            </w:r>
          </w:p>
        </w:tc>
        <w:tc>
          <w:tcPr>
            <w:tcW w:w="1980" w:type="dxa"/>
          </w:tcPr>
          <w:p w14:paraId="471A01A6" w14:textId="09F925E6" w:rsidR="00853205" w:rsidRDefault="00853205">
            <w:r>
              <w:t>Width and Length</w:t>
            </w:r>
          </w:p>
        </w:tc>
      </w:tr>
      <w:tr w:rsidR="00853205" w14:paraId="346CBB98" w14:textId="77777777" w:rsidTr="00853205">
        <w:tc>
          <w:tcPr>
            <w:tcW w:w="2425" w:type="dxa"/>
          </w:tcPr>
          <w:p w14:paraId="17E83A3E" w14:textId="0606B0A0" w:rsidR="00853205" w:rsidRDefault="00853205">
            <w:r>
              <w:t>Parallel</w:t>
            </w:r>
          </w:p>
        </w:tc>
        <w:tc>
          <w:tcPr>
            <w:tcW w:w="1980" w:type="dxa"/>
          </w:tcPr>
          <w:p w14:paraId="430F1385" w14:textId="07B94EBD" w:rsidR="00853205" w:rsidRDefault="00853205">
            <w:r>
              <w:t>9 x 22</w:t>
            </w:r>
          </w:p>
        </w:tc>
      </w:tr>
      <w:tr w:rsidR="00853205" w14:paraId="2697E90B" w14:textId="77777777" w:rsidTr="00853205">
        <w:tc>
          <w:tcPr>
            <w:tcW w:w="2425" w:type="dxa"/>
          </w:tcPr>
          <w:p w14:paraId="4A658DBC" w14:textId="0EFCDDEC" w:rsidR="00853205" w:rsidRDefault="00853205">
            <w:r>
              <w:t>Right Angle</w:t>
            </w:r>
          </w:p>
        </w:tc>
        <w:tc>
          <w:tcPr>
            <w:tcW w:w="1980" w:type="dxa"/>
          </w:tcPr>
          <w:p w14:paraId="34FB4522" w14:textId="5AF32DE1" w:rsidR="00853205" w:rsidRDefault="00853205">
            <w:r>
              <w:t>9 x 20</w:t>
            </w:r>
          </w:p>
        </w:tc>
      </w:tr>
      <w:tr w:rsidR="00853205" w14:paraId="47FD3CCB" w14:textId="77777777" w:rsidTr="00853205">
        <w:tc>
          <w:tcPr>
            <w:tcW w:w="2425" w:type="dxa"/>
          </w:tcPr>
          <w:p w14:paraId="2CD40D9C" w14:textId="12BD8551" w:rsidR="00853205" w:rsidRDefault="00853205">
            <w:r>
              <w:t>60-degree angle</w:t>
            </w:r>
          </w:p>
        </w:tc>
        <w:tc>
          <w:tcPr>
            <w:tcW w:w="1980" w:type="dxa"/>
          </w:tcPr>
          <w:p w14:paraId="5E1ADF81" w14:textId="3DA5911E" w:rsidR="00853205" w:rsidRDefault="00853205">
            <w:r>
              <w:t>9 x 18</w:t>
            </w:r>
          </w:p>
        </w:tc>
      </w:tr>
      <w:tr w:rsidR="00853205" w14:paraId="00A1AF97" w14:textId="77777777" w:rsidTr="00853205">
        <w:tc>
          <w:tcPr>
            <w:tcW w:w="2425" w:type="dxa"/>
          </w:tcPr>
          <w:p w14:paraId="732A13C8" w14:textId="7A762753" w:rsidR="00853205" w:rsidRDefault="00853205">
            <w:r>
              <w:t>45-degree angle</w:t>
            </w:r>
          </w:p>
        </w:tc>
        <w:tc>
          <w:tcPr>
            <w:tcW w:w="1980" w:type="dxa"/>
          </w:tcPr>
          <w:p w14:paraId="3045CBA1" w14:textId="59E8FC39" w:rsidR="00853205" w:rsidRDefault="00853205">
            <w:r>
              <w:t>9 x 17</w:t>
            </w:r>
          </w:p>
        </w:tc>
      </w:tr>
      <w:tr w:rsidR="00853205" w14:paraId="13A6D8A0" w14:textId="77777777" w:rsidTr="00853205">
        <w:tc>
          <w:tcPr>
            <w:tcW w:w="2425" w:type="dxa"/>
          </w:tcPr>
          <w:p w14:paraId="60911BB8" w14:textId="7D052CD2" w:rsidR="00853205" w:rsidRDefault="00853205">
            <w:r>
              <w:t>Compact car</w:t>
            </w:r>
          </w:p>
        </w:tc>
        <w:tc>
          <w:tcPr>
            <w:tcW w:w="1980" w:type="dxa"/>
          </w:tcPr>
          <w:p w14:paraId="39E14F2A" w14:textId="5F3C4976" w:rsidR="00853205" w:rsidRDefault="00853205">
            <w:r>
              <w:t>8 x 15</w:t>
            </w:r>
          </w:p>
        </w:tc>
      </w:tr>
    </w:tbl>
    <w:p w14:paraId="01557FD9" w14:textId="2D9FCEBA" w:rsidR="00853205" w:rsidRDefault="00853205"/>
    <w:p w14:paraId="66CA74E2" w14:textId="035D1FEE" w:rsidR="00853205" w:rsidRDefault="000B7730" w:rsidP="000B7730">
      <w:pPr>
        <w:ind w:firstLine="720"/>
      </w:pPr>
      <w:r>
        <w:t xml:space="preserve">(B)  Minimum Number of Spaces:  </w:t>
      </w:r>
      <w:r w:rsidR="00CE69C0">
        <w:t>T</w:t>
      </w:r>
      <w:r w:rsidR="00853205">
        <w:t>he number of required spaces must meet the requirements of Appendix B of the City of Crawfordsville Zoning Ordinance (shown as Table 11-1).</w:t>
      </w:r>
    </w:p>
    <w:p w14:paraId="10B16F0A" w14:textId="47705198" w:rsidR="000B7730" w:rsidRDefault="00CE69C0" w:rsidP="00CE69C0">
      <w:pPr>
        <w:ind w:firstLine="720"/>
      </w:pPr>
      <w:r>
        <w:lastRenderedPageBreak/>
        <w:t xml:space="preserve">(C)  Miscellaneous Standards:  </w:t>
      </w:r>
      <w:r w:rsidR="000B7730">
        <w:t>All off-street parking areas containing more than five (5) parking spaces must be graded and designed to manage storm water.  All parking areas must provide lighting that is non-polluting and that reflect away from adjacent properties.  If the parking area extends to the property line, wheel stops or other parking devices must be installed in order to prevent parking which extends over the property line.</w:t>
      </w:r>
    </w:p>
    <w:p w14:paraId="4B0EFB1A" w14:textId="475867A7" w:rsidR="00853205" w:rsidRDefault="00CE69C0" w:rsidP="00CE69C0">
      <w:pPr>
        <w:ind w:firstLine="720"/>
      </w:pPr>
      <w:r>
        <w:t xml:space="preserve">(D)  Minimum Number of ADA Spaces:  </w:t>
      </w:r>
      <w:r w:rsidR="00853205">
        <w:t>The number of Americans with Disability Act (ADA) spaces required is as follows:</w:t>
      </w:r>
    </w:p>
    <w:tbl>
      <w:tblPr>
        <w:tblStyle w:val="TableGrid"/>
        <w:tblW w:w="0" w:type="auto"/>
        <w:tblLook w:val="04A0" w:firstRow="1" w:lastRow="0" w:firstColumn="1" w:lastColumn="0" w:noHBand="0" w:noVBand="1"/>
      </w:tblPr>
      <w:tblGrid>
        <w:gridCol w:w="3055"/>
        <w:gridCol w:w="3510"/>
      </w:tblGrid>
      <w:tr w:rsidR="00853205" w14:paraId="6901CD49" w14:textId="77777777" w:rsidTr="000B7730">
        <w:tc>
          <w:tcPr>
            <w:tcW w:w="3055" w:type="dxa"/>
          </w:tcPr>
          <w:p w14:paraId="63176DA2" w14:textId="299E5BEB" w:rsidR="00853205" w:rsidRDefault="00853205">
            <w:r>
              <w:t>Number of Required Spaces</w:t>
            </w:r>
          </w:p>
        </w:tc>
        <w:tc>
          <w:tcPr>
            <w:tcW w:w="3510" w:type="dxa"/>
          </w:tcPr>
          <w:p w14:paraId="14D5CC0D" w14:textId="1D4A77C9" w:rsidR="00853205" w:rsidRDefault="00853205">
            <w:r>
              <w:t>Required ADA Spaces</w:t>
            </w:r>
          </w:p>
        </w:tc>
      </w:tr>
      <w:tr w:rsidR="00853205" w14:paraId="1F153C9C" w14:textId="77777777" w:rsidTr="000B7730">
        <w:tc>
          <w:tcPr>
            <w:tcW w:w="3055" w:type="dxa"/>
          </w:tcPr>
          <w:p w14:paraId="052D5D10" w14:textId="2D78B0AB" w:rsidR="00853205" w:rsidRDefault="00853205">
            <w:r>
              <w:t>1-25</w:t>
            </w:r>
          </w:p>
        </w:tc>
        <w:tc>
          <w:tcPr>
            <w:tcW w:w="3510" w:type="dxa"/>
          </w:tcPr>
          <w:p w14:paraId="3857E5BC" w14:textId="0A1E592E" w:rsidR="00853205" w:rsidRDefault="00853205">
            <w:r>
              <w:t>1</w:t>
            </w:r>
          </w:p>
        </w:tc>
      </w:tr>
      <w:tr w:rsidR="00853205" w14:paraId="0B468617" w14:textId="77777777" w:rsidTr="000B7730">
        <w:tc>
          <w:tcPr>
            <w:tcW w:w="3055" w:type="dxa"/>
          </w:tcPr>
          <w:p w14:paraId="0CC2E1F3" w14:textId="330E2AB5" w:rsidR="00853205" w:rsidRDefault="00853205">
            <w:r>
              <w:t>26-50</w:t>
            </w:r>
          </w:p>
        </w:tc>
        <w:tc>
          <w:tcPr>
            <w:tcW w:w="3510" w:type="dxa"/>
          </w:tcPr>
          <w:p w14:paraId="2B62E060" w14:textId="41891EAC" w:rsidR="00853205" w:rsidRDefault="00853205">
            <w:r>
              <w:t>2</w:t>
            </w:r>
          </w:p>
        </w:tc>
      </w:tr>
      <w:tr w:rsidR="00853205" w14:paraId="404ADED6" w14:textId="77777777" w:rsidTr="000B7730">
        <w:tc>
          <w:tcPr>
            <w:tcW w:w="3055" w:type="dxa"/>
          </w:tcPr>
          <w:p w14:paraId="19A1374E" w14:textId="7B334423" w:rsidR="00853205" w:rsidRDefault="00853205">
            <w:r>
              <w:t>51-75</w:t>
            </w:r>
          </w:p>
        </w:tc>
        <w:tc>
          <w:tcPr>
            <w:tcW w:w="3510" w:type="dxa"/>
          </w:tcPr>
          <w:p w14:paraId="58D3615C" w14:textId="78C9E49A" w:rsidR="00853205" w:rsidRDefault="00853205">
            <w:r>
              <w:t>3</w:t>
            </w:r>
          </w:p>
        </w:tc>
      </w:tr>
      <w:tr w:rsidR="00853205" w14:paraId="32B73B87" w14:textId="77777777" w:rsidTr="000B7730">
        <w:tc>
          <w:tcPr>
            <w:tcW w:w="3055" w:type="dxa"/>
          </w:tcPr>
          <w:p w14:paraId="3DAA9B68" w14:textId="2B5FCAC6" w:rsidR="00853205" w:rsidRDefault="00853205">
            <w:r>
              <w:t>76-100</w:t>
            </w:r>
          </w:p>
        </w:tc>
        <w:tc>
          <w:tcPr>
            <w:tcW w:w="3510" w:type="dxa"/>
          </w:tcPr>
          <w:p w14:paraId="5518C7D6" w14:textId="14F2D809" w:rsidR="00853205" w:rsidRDefault="00853205">
            <w:r>
              <w:t>4</w:t>
            </w:r>
          </w:p>
        </w:tc>
      </w:tr>
      <w:tr w:rsidR="00853205" w14:paraId="4D7A0FC6" w14:textId="77777777" w:rsidTr="000B7730">
        <w:tc>
          <w:tcPr>
            <w:tcW w:w="3055" w:type="dxa"/>
          </w:tcPr>
          <w:p w14:paraId="12C2DFDF" w14:textId="2ED4ACCE" w:rsidR="00853205" w:rsidRDefault="00853205">
            <w:r>
              <w:t>101-150</w:t>
            </w:r>
          </w:p>
        </w:tc>
        <w:tc>
          <w:tcPr>
            <w:tcW w:w="3510" w:type="dxa"/>
          </w:tcPr>
          <w:p w14:paraId="59131E30" w14:textId="2FF62BAF" w:rsidR="00853205" w:rsidRDefault="00853205">
            <w:r>
              <w:t>5</w:t>
            </w:r>
          </w:p>
        </w:tc>
      </w:tr>
      <w:tr w:rsidR="00853205" w14:paraId="5DA06864" w14:textId="77777777" w:rsidTr="000B7730">
        <w:tc>
          <w:tcPr>
            <w:tcW w:w="3055" w:type="dxa"/>
          </w:tcPr>
          <w:p w14:paraId="19F4D2A6" w14:textId="07E765C1" w:rsidR="00853205" w:rsidRDefault="00853205">
            <w:r>
              <w:t>151-200</w:t>
            </w:r>
          </w:p>
        </w:tc>
        <w:tc>
          <w:tcPr>
            <w:tcW w:w="3510" w:type="dxa"/>
          </w:tcPr>
          <w:p w14:paraId="6041F6A8" w14:textId="5337420D" w:rsidR="00853205" w:rsidRDefault="00853205">
            <w:r>
              <w:t>6</w:t>
            </w:r>
          </w:p>
        </w:tc>
      </w:tr>
      <w:tr w:rsidR="00853205" w14:paraId="46E3C0F3" w14:textId="77777777" w:rsidTr="000B7730">
        <w:tc>
          <w:tcPr>
            <w:tcW w:w="3055" w:type="dxa"/>
          </w:tcPr>
          <w:p w14:paraId="2DD7FF37" w14:textId="29DECDA6" w:rsidR="00853205" w:rsidRDefault="00853205">
            <w:r>
              <w:t>201-300</w:t>
            </w:r>
          </w:p>
        </w:tc>
        <w:tc>
          <w:tcPr>
            <w:tcW w:w="3510" w:type="dxa"/>
          </w:tcPr>
          <w:p w14:paraId="5266A564" w14:textId="63841F36" w:rsidR="00853205" w:rsidRDefault="00853205">
            <w:r>
              <w:t>7</w:t>
            </w:r>
          </w:p>
        </w:tc>
      </w:tr>
      <w:tr w:rsidR="00853205" w14:paraId="0232F526" w14:textId="77777777" w:rsidTr="000B7730">
        <w:tc>
          <w:tcPr>
            <w:tcW w:w="3055" w:type="dxa"/>
          </w:tcPr>
          <w:p w14:paraId="05EACD64" w14:textId="3A2B2ABF" w:rsidR="00853205" w:rsidRDefault="00853205">
            <w:r>
              <w:t>301-400</w:t>
            </w:r>
          </w:p>
        </w:tc>
        <w:tc>
          <w:tcPr>
            <w:tcW w:w="3510" w:type="dxa"/>
          </w:tcPr>
          <w:p w14:paraId="1BD62AC1" w14:textId="2513B11D" w:rsidR="00853205" w:rsidRDefault="00853205">
            <w:r>
              <w:t>8</w:t>
            </w:r>
          </w:p>
        </w:tc>
      </w:tr>
      <w:tr w:rsidR="00853205" w14:paraId="582A6D1C" w14:textId="77777777" w:rsidTr="000B7730">
        <w:tc>
          <w:tcPr>
            <w:tcW w:w="3055" w:type="dxa"/>
          </w:tcPr>
          <w:p w14:paraId="4564E882" w14:textId="21EF3D20" w:rsidR="00853205" w:rsidRDefault="00853205">
            <w:r>
              <w:t>401-500</w:t>
            </w:r>
          </w:p>
        </w:tc>
        <w:tc>
          <w:tcPr>
            <w:tcW w:w="3510" w:type="dxa"/>
          </w:tcPr>
          <w:p w14:paraId="4B38ABFA" w14:textId="7208BD61" w:rsidR="00853205" w:rsidRDefault="00853205">
            <w:r>
              <w:t>9</w:t>
            </w:r>
          </w:p>
        </w:tc>
      </w:tr>
      <w:tr w:rsidR="00853205" w14:paraId="7E8986E8" w14:textId="77777777" w:rsidTr="000B7730">
        <w:tc>
          <w:tcPr>
            <w:tcW w:w="3055" w:type="dxa"/>
          </w:tcPr>
          <w:p w14:paraId="41C98D6F" w14:textId="142ABDB8" w:rsidR="00853205" w:rsidRDefault="00853205">
            <w:r>
              <w:t>501-1000</w:t>
            </w:r>
          </w:p>
        </w:tc>
        <w:tc>
          <w:tcPr>
            <w:tcW w:w="3510" w:type="dxa"/>
          </w:tcPr>
          <w:p w14:paraId="6C43C280" w14:textId="30159F40" w:rsidR="00853205" w:rsidRDefault="000B7730">
            <w:r>
              <w:t>2% of total</w:t>
            </w:r>
          </w:p>
        </w:tc>
      </w:tr>
      <w:tr w:rsidR="000B7730" w14:paraId="65647675" w14:textId="77777777" w:rsidTr="000B7730">
        <w:tc>
          <w:tcPr>
            <w:tcW w:w="3055" w:type="dxa"/>
          </w:tcPr>
          <w:p w14:paraId="16A5DEE8" w14:textId="584CE405" w:rsidR="000B7730" w:rsidRDefault="000B7730">
            <w:r>
              <w:t>1001 +</w:t>
            </w:r>
          </w:p>
        </w:tc>
        <w:tc>
          <w:tcPr>
            <w:tcW w:w="3510" w:type="dxa"/>
          </w:tcPr>
          <w:p w14:paraId="7465185C" w14:textId="4B42FA67" w:rsidR="000B7730" w:rsidRDefault="000B7730">
            <w:r>
              <w:t>20 plus 1 for each 100 over 1,000</w:t>
            </w:r>
          </w:p>
        </w:tc>
      </w:tr>
    </w:tbl>
    <w:p w14:paraId="14DB398D" w14:textId="77777777" w:rsidR="00853205" w:rsidRDefault="00853205"/>
    <w:p w14:paraId="4B18FF78" w14:textId="0B1D9BC2" w:rsidR="00853205" w:rsidRDefault="00853205"/>
    <w:p w14:paraId="09ED17A7" w14:textId="0B506B90" w:rsidR="000B7730" w:rsidRPr="007110B2" w:rsidRDefault="000B7730">
      <w:pPr>
        <w:rPr>
          <w:b/>
          <w:bCs/>
        </w:rPr>
      </w:pPr>
      <w:r w:rsidRPr="007110B2">
        <w:rPr>
          <w:b/>
          <w:bCs/>
        </w:rPr>
        <w:t>11.08 STACKING REQUIREMENTS</w:t>
      </w:r>
    </w:p>
    <w:p w14:paraId="273B2178" w14:textId="7BF081AF" w:rsidR="000B7730" w:rsidRDefault="000B7730">
      <w:r>
        <w:t>For Commercial uses, the following drive-thru stacking standards apply:</w:t>
      </w:r>
    </w:p>
    <w:tbl>
      <w:tblPr>
        <w:tblStyle w:val="TableGrid"/>
        <w:tblW w:w="0" w:type="auto"/>
        <w:tblLook w:val="04A0" w:firstRow="1" w:lastRow="0" w:firstColumn="1" w:lastColumn="0" w:noHBand="0" w:noVBand="1"/>
      </w:tblPr>
      <w:tblGrid>
        <w:gridCol w:w="2875"/>
        <w:gridCol w:w="2070"/>
        <w:gridCol w:w="2880"/>
      </w:tblGrid>
      <w:tr w:rsidR="000B7730" w14:paraId="2408B8B8" w14:textId="5A25C9D2" w:rsidTr="000B7730">
        <w:tc>
          <w:tcPr>
            <w:tcW w:w="2875" w:type="dxa"/>
          </w:tcPr>
          <w:p w14:paraId="43DA2711" w14:textId="73EDE041" w:rsidR="000B7730" w:rsidRDefault="000B7730">
            <w:r>
              <w:t>Type of Use</w:t>
            </w:r>
          </w:p>
        </w:tc>
        <w:tc>
          <w:tcPr>
            <w:tcW w:w="2070" w:type="dxa"/>
          </w:tcPr>
          <w:p w14:paraId="23197E23" w14:textId="70CB67DC" w:rsidR="000B7730" w:rsidRDefault="000B7730">
            <w:r>
              <w:t>Number of Cars</w:t>
            </w:r>
          </w:p>
        </w:tc>
        <w:tc>
          <w:tcPr>
            <w:tcW w:w="2880" w:type="dxa"/>
          </w:tcPr>
          <w:p w14:paraId="76BC5A1F" w14:textId="4D568FE2" w:rsidR="000B7730" w:rsidRDefault="000B7730">
            <w:r>
              <w:t>Measured</w:t>
            </w:r>
          </w:p>
        </w:tc>
      </w:tr>
      <w:tr w:rsidR="000B7730" w14:paraId="0DB84DFB" w14:textId="32DA597D" w:rsidTr="000B7730">
        <w:tc>
          <w:tcPr>
            <w:tcW w:w="2875" w:type="dxa"/>
          </w:tcPr>
          <w:p w14:paraId="7DA32090" w14:textId="6DAA06E5" w:rsidR="000B7730" w:rsidRDefault="000B7730">
            <w:r>
              <w:t>Bank</w:t>
            </w:r>
          </w:p>
        </w:tc>
        <w:tc>
          <w:tcPr>
            <w:tcW w:w="2070" w:type="dxa"/>
          </w:tcPr>
          <w:p w14:paraId="76253D94" w14:textId="6DE2E643" w:rsidR="000B7730" w:rsidRDefault="000B7730">
            <w:r>
              <w:t>4 per teller lane</w:t>
            </w:r>
          </w:p>
        </w:tc>
        <w:tc>
          <w:tcPr>
            <w:tcW w:w="2880" w:type="dxa"/>
          </w:tcPr>
          <w:p w14:paraId="7DA7DE8F" w14:textId="0B806FEE" w:rsidR="000B7730" w:rsidRDefault="000B7730">
            <w:r>
              <w:t>Teller or box</w:t>
            </w:r>
          </w:p>
        </w:tc>
      </w:tr>
      <w:tr w:rsidR="000B7730" w14:paraId="4FA18027" w14:textId="2C11FF19" w:rsidTr="000B7730">
        <w:tc>
          <w:tcPr>
            <w:tcW w:w="2875" w:type="dxa"/>
          </w:tcPr>
          <w:p w14:paraId="7294495B" w14:textId="193BEE5D" w:rsidR="000B7730" w:rsidRDefault="000B7730">
            <w:r>
              <w:t>Restaurant Order Area</w:t>
            </w:r>
          </w:p>
        </w:tc>
        <w:tc>
          <w:tcPr>
            <w:tcW w:w="2070" w:type="dxa"/>
          </w:tcPr>
          <w:p w14:paraId="3DCF2A96" w14:textId="2B3432D0" w:rsidR="000B7730" w:rsidRDefault="000B7730">
            <w:r>
              <w:t>6</w:t>
            </w:r>
          </w:p>
        </w:tc>
        <w:tc>
          <w:tcPr>
            <w:tcW w:w="2880" w:type="dxa"/>
          </w:tcPr>
          <w:p w14:paraId="49743254" w14:textId="6C76D081" w:rsidR="000B7730" w:rsidRDefault="000B7730">
            <w:r>
              <w:t>Order Box</w:t>
            </w:r>
          </w:p>
        </w:tc>
      </w:tr>
      <w:tr w:rsidR="000B7730" w14:paraId="3599D73F" w14:textId="09BBAEF7" w:rsidTr="000B7730">
        <w:tc>
          <w:tcPr>
            <w:tcW w:w="2875" w:type="dxa"/>
          </w:tcPr>
          <w:p w14:paraId="01BE32D6" w14:textId="44EED6F8" w:rsidR="000B7730" w:rsidRDefault="000B7730">
            <w:r>
              <w:t>Restaurant Pick Up Area</w:t>
            </w:r>
          </w:p>
        </w:tc>
        <w:tc>
          <w:tcPr>
            <w:tcW w:w="2070" w:type="dxa"/>
          </w:tcPr>
          <w:p w14:paraId="78B0E6F9" w14:textId="19B9AEAE" w:rsidR="000B7730" w:rsidRDefault="000B7730">
            <w:r>
              <w:t>4</w:t>
            </w:r>
          </w:p>
        </w:tc>
        <w:tc>
          <w:tcPr>
            <w:tcW w:w="2880" w:type="dxa"/>
          </w:tcPr>
          <w:p w14:paraId="0033E32C" w14:textId="76207112" w:rsidR="000B7730" w:rsidRDefault="000B7730">
            <w:r>
              <w:t>Order Box to Pick Up Area</w:t>
            </w:r>
          </w:p>
        </w:tc>
      </w:tr>
      <w:tr w:rsidR="000B7730" w14:paraId="67D8A429" w14:textId="77777777" w:rsidTr="000B7730">
        <w:tc>
          <w:tcPr>
            <w:tcW w:w="2875" w:type="dxa"/>
          </w:tcPr>
          <w:p w14:paraId="2A408996" w14:textId="317EA30C" w:rsidR="000B7730" w:rsidRDefault="000B7730">
            <w:r>
              <w:t>Car Wash Automated</w:t>
            </w:r>
          </w:p>
        </w:tc>
        <w:tc>
          <w:tcPr>
            <w:tcW w:w="2070" w:type="dxa"/>
          </w:tcPr>
          <w:p w14:paraId="08EB033C" w14:textId="5AE419EC" w:rsidR="000B7730" w:rsidRDefault="000B7730">
            <w:r>
              <w:t>6/stall</w:t>
            </w:r>
          </w:p>
        </w:tc>
        <w:tc>
          <w:tcPr>
            <w:tcW w:w="2880" w:type="dxa"/>
          </w:tcPr>
          <w:p w14:paraId="3AE7C0B5" w14:textId="384354DA" w:rsidR="000B7730" w:rsidRDefault="000B7730">
            <w:r>
              <w:t>Entrance</w:t>
            </w:r>
          </w:p>
        </w:tc>
      </w:tr>
      <w:tr w:rsidR="000B7730" w14:paraId="07BFC9E2" w14:textId="77777777" w:rsidTr="000B7730">
        <w:tc>
          <w:tcPr>
            <w:tcW w:w="2875" w:type="dxa"/>
          </w:tcPr>
          <w:p w14:paraId="56966575" w14:textId="362C87B4" w:rsidR="000B7730" w:rsidRDefault="000B7730">
            <w:r>
              <w:t>Car Wash Self</w:t>
            </w:r>
            <w:r w:rsidR="00CE69C0">
              <w:t>-</w:t>
            </w:r>
            <w:r>
              <w:t>Serve</w:t>
            </w:r>
          </w:p>
        </w:tc>
        <w:tc>
          <w:tcPr>
            <w:tcW w:w="2070" w:type="dxa"/>
          </w:tcPr>
          <w:p w14:paraId="62BF1DAE" w14:textId="1A81EB2C" w:rsidR="000B7730" w:rsidRDefault="000B7730">
            <w:r>
              <w:t>3/stall</w:t>
            </w:r>
          </w:p>
        </w:tc>
        <w:tc>
          <w:tcPr>
            <w:tcW w:w="2880" w:type="dxa"/>
          </w:tcPr>
          <w:p w14:paraId="58E296CB" w14:textId="6BB34CF7" w:rsidR="000B7730" w:rsidRDefault="000B7730">
            <w:r>
              <w:t>Entrance</w:t>
            </w:r>
          </w:p>
        </w:tc>
      </w:tr>
      <w:tr w:rsidR="000B7730" w14:paraId="360BE6D5" w14:textId="77777777" w:rsidTr="000B7730">
        <w:tc>
          <w:tcPr>
            <w:tcW w:w="2875" w:type="dxa"/>
          </w:tcPr>
          <w:p w14:paraId="28ABBAA7" w14:textId="2B473F86" w:rsidR="000B7730" w:rsidRDefault="000B7730">
            <w:r>
              <w:t>Gasoline Pump Island</w:t>
            </w:r>
          </w:p>
        </w:tc>
        <w:tc>
          <w:tcPr>
            <w:tcW w:w="2070" w:type="dxa"/>
          </w:tcPr>
          <w:p w14:paraId="5F2468FD" w14:textId="6F6682CC" w:rsidR="000B7730" w:rsidRDefault="000B7730">
            <w:r>
              <w:t>2/pump</w:t>
            </w:r>
          </w:p>
        </w:tc>
        <w:tc>
          <w:tcPr>
            <w:tcW w:w="2880" w:type="dxa"/>
          </w:tcPr>
          <w:p w14:paraId="12DCA753" w14:textId="73988120" w:rsidR="000B7730" w:rsidRDefault="000B7730">
            <w:r>
              <w:t>Pump Island</w:t>
            </w:r>
          </w:p>
        </w:tc>
      </w:tr>
    </w:tbl>
    <w:p w14:paraId="54AC0B29" w14:textId="202E4DB1" w:rsidR="000B7730" w:rsidRDefault="000B7730"/>
    <w:p w14:paraId="2B67424A" w14:textId="0FE05B55" w:rsidR="00CE69C0" w:rsidRPr="007110B2" w:rsidRDefault="00CE69C0">
      <w:pPr>
        <w:rPr>
          <w:b/>
          <w:bCs/>
        </w:rPr>
      </w:pPr>
      <w:r w:rsidRPr="007110B2">
        <w:rPr>
          <w:b/>
          <w:bCs/>
        </w:rPr>
        <w:t>11.09 SIGNS</w:t>
      </w:r>
      <w:r w:rsidRPr="007110B2">
        <w:rPr>
          <w:b/>
          <w:bCs/>
        </w:rPr>
        <w:tab/>
      </w:r>
    </w:p>
    <w:p w14:paraId="2D1C9503" w14:textId="732228DF" w:rsidR="00CE69C0" w:rsidRDefault="00CE69C0">
      <w:r>
        <w:t xml:space="preserve">All signs, except those exempt or prohibited by the City of Crawfordsville Zoning Ordinance, may be no more than 5 square feet </w:t>
      </w:r>
      <w:r w:rsidR="007110B2">
        <w:t xml:space="preserve">in area </w:t>
      </w:r>
      <w:r>
        <w:t>for each foot of width of the principal structure associated with the sign.  Signs may not blink, flash or flutter and may not change in light intensity or brightness.</w:t>
      </w:r>
    </w:p>
    <w:p w14:paraId="0086F1B8" w14:textId="77777777" w:rsidR="00C940D6" w:rsidRDefault="00C940D6"/>
    <w:p w14:paraId="00A4436C" w14:textId="0899957F" w:rsidR="00CE69C0" w:rsidRPr="007110B2" w:rsidRDefault="00CE69C0">
      <w:pPr>
        <w:rPr>
          <w:b/>
          <w:bCs/>
        </w:rPr>
      </w:pPr>
      <w:r w:rsidRPr="007110B2">
        <w:rPr>
          <w:b/>
          <w:bCs/>
        </w:rPr>
        <w:t>11.10  STREET LIGHTS</w:t>
      </w:r>
    </w:p>
    <w:p w14:paraId="0708D220" w14:textId="727B3CD5" w:rsidR="00CE69C0" w:rsidRDefault="00CE69C0">
      <w:r>
        <w:t xml:space="preserve">For all residential subdivisions, street lighting must be constructed </w:t>
      </w:r>
      <w:r w:rsidR="007110B2">
        <w:t>every 250 feet of the street, on opposite sides of the street in a stagger, and at the entrance and all street intersections.</w:t>
      </w:r>
    </w:p>
    <w:p w14:paraId="0AC0F57E" w14:textId="27968B76" w:rsidR="00CE69C0" w:rsidRDefault="00CE69C0"/>
    <w:p w14:paraId="6BEC1EA6" w14:textId="229E79BC" w:rsidR="003D0A4C" w:rsidRPr="007110B2" w:rsidRDefault="00CE69C0">
      <w:pPr>
        <w:rPr>
          <w:b/>
          <w:bCs/>
        </w:rPr>
      </w:pPr>
      <w:r w:rsidRPr="007110B2">
        <w:rPr>
          <w:b/>
          <w:bCs/>
        </w:rPr>
        <w:t>11.</w:t>
      </w:r>
      <w:r w:rsidR="007110B2" w:rsidRPr="007110B2">
        <w:rPr>
          <w:b/>
          <w:bCs/>
        </w:rPr>
        <w:t>11</w:t>
      </w:r>
      <w:r w:rsidRPr="007110B2">
        <w:rPr>
          <w:b/>
          <w:bCs/>
        </w:rPr>
        <w:t xml:space="preserve">  OFF-STREET LOADING REQUIREMENTS</w:t>
      </w:r>
    </w:p>
    <w:p w14:paraId="0A47E152" w14:textId="4AF0C194" w:rsidR="00CE69C0" w:rsidRDefault="00CE69C0">
      <w:r>
        <w:t>The following requirements for off-street loading apply:</w:t>
      </w:r>
    </w:p>
    <w:tbl>
      <w:tblPr>
        <w:tblStyle w:val="TableGrid"/>
        <w:tblW w:w="0" w:type="auto"/>
        <w:tblLook w:val="04A0" w:firstRow="1" w:lastRow="0" w:firstColumn="1" w:lastColumn="0" w:noHBand="0" w:noVBand="1"/>
      </w:tblPr>
      <w:tblGrid>
        <w:gridCol w:w="3415"/>
        <w:gridCol w:w="3060"/>
        <w:gridCol w:w="2160"/>
      </w:tblGrid>
      <w:tr w:rsidR="00CE69C0" w14:paraId="0C0D35D5" w14:textId="77777777" w:rsidTr="00CE69C0">
        <w:tc>
          <w:tcPr>
            <w:tcW w:w="3415" w:type="dxa"/>
          </w:tcPr>
          <w:p w14:paraId="1FB5DB2E" w14:textId="56C46339" w:rsidR="00CE69C0" w:rsidRDefault="00CE69C0">
            <w:r>
              <w:t>Type of Use</w:t>
            </w:r>
          </w:p>
        </w:tc>
        <w:tc>
          <w:tcPr>
            <w:tcW w:w="3060" w:type="dxa"/>
          </w:tcPr>
          <w:p w14:paraId="1EA64529" w14:textId="133BDE2A" w:rsidR="00CE69C0" w:rsidRDefault="00CE69C0">
            <w:r>
              <w:t>Floor Area</w:t>
            </w:r>
          </w:p>
        </w:tc>
        <w:tc>
          <w:tcPr>
            <w:tcW w:w="2160" w:type="dxa"/>
          </w:tcPr>
          <w:p w14:paraId="6BB7FA60" w14:textId="08859556" w:rsidR="00CE69C0" w:rsidRDefault="00CE69C0">
            <w:r>
              <w:t>Number of Spaces</w:t>
            </w:r>
          </w:p>
        </w:tc>
      </w:tr>
      <w:tr w:rsidR="00CE69C0" w14:paraId="198C69EC" w14:textId="77777777" w:rsidTr="00CE69C0">
        <w:tc>
          <w:tcPr>
            <w:tcW w:w="3415" w:type="dxa"/>
          </w:tcPr>
          <w:p w14:paraId="71D6D0B7" w14:textId="50414E28" w:rsidR="00CE69C0" w:rsidRDefault="00CE69C0">
            <w:r>
              <w:t>Manufacturing, Distribution, Wholesale, Storage, Warehousing</w:t>
            </w:r>
          </w:p>
        </w:tc>
        <w:tc>
          <w:tcPr>
            <w:tcW w:w="3060" w:type="dxa"/>
          </w:tcPr>
          <w:p w14:paraId="657C3805" w14:textId="77777777" w:rsidR="00CE69C0" w:rsidRDefault="00CE69C0">
            <w:r>
              <w:t>10,000 – 25,000</w:t>
            </w:r>
          </w:p>
          <w:p w14:paraId="566B5B3C" w14:textId="77777777" w:rsidR="00CE69C0" w:rsidRDefault="00CE69C0">
            <w:r>
              <w:t>25,001-60,000</w:t>
            </w:r>
          </w:p>
          <w:p w14:paraId="3B11015D" w14:textId="77777777" w:rsidR="00CE69C0" w:rsidRDefault="00CE69C0">
            <w:r>
              <w:t>60,001 – 100,000</w:t>
            </w:r>
          </w:p>
          <w:p w14:paraId="5912005A" w14:textId="519615F5" w:rsidR="00CE69C0" w:rsidRDefault="00CE69C0">
            <w:r>
              <w:t>Each 50,000 above `100,000</w:t>
            </w:r>
          </w:p>
        </w:tc>
        <w:tc>
          <w:tcPr>
            <w:tcW w:w="2160" w:type="dxa"/>
          </w:tcPr>
          <w:p w14:paraId="3FC93CF3" w14:textId="77777777" w:rsidR="00CE69C0" w:rsidRDefault="00CE69C0">
            <w:r>
              <w:t>1</w:t>
            </w:r>
          </w:p>
          <w:p w14:paraId="2048229D" w14:textId="77777777" w:rsidR="00CE69C0" w:rsidRDefault="00CE69C0">
            <w:r>
              <w:t>2</w:t>
            </w:r>
          </w:p>
          <w:p w14:paraId="2EAA3AA0" w14:textId="77777777" w:rsidR="00CE69C0" w:rsidRDefault="00CE69C0">
            <w:r>
              <w:t>3</w:t>
            </w:r>
          </w:p>
          <w:p w14:paraId="22A470E9" w14:textId="4D6AEC3B" w:rsidR="00CE69C0" w:rsidRDefault="00CE69C0">
            <w:r>
              <w:t>1</w:t>
            </w:r>
          </w:p>
        </w:tc>
      </w:tr>
      <w:tr w:rsidR="00CE69C0" w14:paraId="45C6ACE7" w14:textId="77777777" w:rsidTr="00CE69C0">
        <w:tc>
          <w:tcPr>
            <w:tcW w:w="3415" w:type="dxa"/>
          </w:tcPr>
          <w:p w14:paraId="3AC83CF4" w14:textId="07126A85" w:rsidR="00CE69C0" w:rsidRDefault="00CE69C0">
            <w:r>
              <w:t>Office, Hotel, Motel, Retail Sales</w:t>
            </w:r>
          </w:p>
        </w:tc>
        <w:tc>
          <w:tcPr>
            <w:tcW w:w="3060" w:type="dxa"/>
          </w:tcPr>
          <w:p w14:paraId="39E0D83E" w14:textId="77777777" w:rsidR="00CE69C0" w:rsidRDefault="00CE69C0">
            <w:r>
              <w:t>10,000 – 60,000</w:t>
            </w:r>
          </w:p>
          <w:p w14:paraId="16E1D508" w14:textId="77777777" w:rsidR="00CE69C0" w:rsidRDefault="00CE69C0">
            <w:r>
              <w:t>60,001-100,000</w:t>
            </w:r>
          </w:p>
          <w:p w14:paraId="2ED73BA7" w14:textId="0D5E9C1D" w:rsidR="00CE69C0" w:rsidRDefault="00CE69C0">
            <w:r>
              <w:t>Each 50,000 above 100,000</w:t>
            </w:r>
          </w:p>
        </w:tc>
        <w:tc>
          <w:tcPr>
            <w:tcW w:w="2160" w:type="dxa"/>
          </w:tcPr>
          <w:p w14:paraId="03B1F4B2" w14:textId="77777777" w:rsidR="00CE69C0" w:rsidRDefault="00CE69C0">
            <w:r>
              <w:t>1</w:t>
            </w:r>
          </w:p>
          <w:p w14:paraId="5E0CB875" w14:textId="77777777" w:rsidR="00CE69C0" w:rsidRDefault="00CE69C0">
            <w:r>
              <w:t>2</w:t>
            </w:r>
          </w:p>
          <w:p w14:paraId="1218356F" w14:textId="290D58C4" w:rsidR="00CE69C0" w:rsidRDefault="00CE69C0">
            <w:r>
              <w:t>1</w:t>
            </w:r>
          </w:p>
        </w:tc>
      </w:tr>
      <w:tr w:rsidR="00CE69C0" w14:paraId="199A14EB" w14:textId="77777777" w:rsidTr="00CE69C0">
        <w:tc>
          <w:tcPr>
            <w:tcW w:w="3415" w:type="dxa"/>
          </w:tcPr>
          <w:p w14:paraId="71E401FE" w14:textId="69829CB1" w:rsidR="00CE69C0" w:rsidRDefault="00CE69C0">
            <w:r>
              <w:t>Other</w:t>
            </w:r>
          </w:p>
        </w:tc>
        <w:tc>
          <w:tcPr>
            <w:tcW w:w="3060" w:type="dxa"/>
          </w:tcPr>
          <w:p w14:paraId="532D5293" w14:textId="77777777" w:rsidR="00CE69C0" w:rsidRDefault="00CE69C0"/>
        </w:tc>
        <w:tc>
          <w:tcPr>
            <w:tcW w:w="2160" w:type="dxa"/>
          </w:tcPr>
          <w:p w14:paraId="0CC5C16C" w14:textId="2F11A215" w:rsidR="00CE69C0" w:rsidRDefault="00CE69C0">
            <w:r>
              <w:t>As determined by Zoning Administrator</w:t>
            </w:r>
          </w:p>
        </w:tc>
      </w:tr>
    </w:tbl>
    <w:p w14:paraId="113F24D5" w14:textId="77777777" w:rsidR="00CE69C0" w:rsidRDefault="00CE69C0"/>
    <w:p w14:paraId="3F670311" w14:textId="0F22B3D3" w:rsidR="003D0A4C" w:rsidRDefault="003D0A4C"/>
    <w:p w14:paraId="34827AFA" w14:textId="781A4577" w:rsidR="003D0A4C" w:rsidRDefault="003D0A4C">
      <w:r>
        <w:t xml:space="preserve"> </w:t>
      </w:r>
    </w:p>
    <w:sectPr w:rsidR="003D0A4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0467" w14:textId="77777777" w:rsidR="00FD754A" w:rsidRDefault="00FD754A" w:rsidP="00FD754A">
      <w:pPr>
        <w:spacing w:after="0" w:line="240" w:lineRule="auto"/>
      </w:pPr>
      <w:r>
        <w:separator/>
      </w:r>
    </w:p>
  </w:endnote>
  <w:endnote w:type="continuationSeparator" w:id="0">
    <w:p w14:paraId="715D5292" w14:textId="77777777" w:rsidR="00FD754A" w:rsidRDefault="00FD754A" w:rsidP="00FD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587686"/>
      <w:docPartObj>
        <w:docPartGallery w:val="Page Numbers (Bottom of Page)"/>
        <w:docPartUnique/>
      </w:docPartObj>
    </w:sdtPr>
    <w:sdtEndPr>
      <w:rPr>
        <w:noProof/>
      </w:rPr>
    </w:sdtEndPr>
    <w:sdtContent>
      <w:p w14:paraId="39EF3117" w14:textId="7AC198A5" w:rsidR="00FD754A" w:rsidRDefault="00FD75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773B2" w14:textId="77777777" w:rsidR="00FD754A" w:rsidRDefault="00FD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C4F8" w14:textId="77777777" w:rsidR="00FD754A" w:rsidRDefault="00FD754A" w:rsidP="00FD754A">
      <w:pPr>
        <w:spacing w:after="0" w:line="240" w:lineRule="auto"/>
      </w:pPr>
      <w:r>
        <w:separator/>
      </w:r>
    </w:p>
  </w:footnote>
  <w:footnote w:type="continuationSeparator" w:id="0">
    <w:p w14:paraId="5F03840F" w14:textId="77777777" w:rsidR="00FD754A" w:rsidRDefault="00FD754A" w:rsidP="00FD7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43"/>
    <w:rsid w:val="000B7730"/>
    <w:rsid w:val="001C52E7"/>
    <w:rsid w:val="00375121"/>
    <w:rsid w:val="003B53F0"/>
    <w:rsid w:val="003D0A4C"/>
    <w:rsid w:val="00521B8F"/>
    <w:rsid w:val="00572243"/>
    <w:rsid w:val="007110B2"/>
    <w:rsid w:val="0077052F"/>
    <w:rsid w:val="00853205"/>
    <w:rsid w:val="008622DA"/>
    <w:rsid w:val="00C940D6"/>
    <w:rsid w:val="00CE69C0"/>
    <w:rsid w:val="00D30FC7"/>
    <w:rsid w:val="00EB1BBC"/>
    <w:rsid w:val="00FD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7379"/>
  <w15:chartTrackingRefBased/>
  <w15:docId w15:val="{8D831D95-DD34-4FD0-BB1E-4EBE9FCA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7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54A"/>
  </w:style>
  <w:style w:type="paragraph" w:styleId="Footer">
    <w:name w:val="footer"/>
    <w:basedOn w:val="Normal"/>
    <w:link w:val="FooterChar"/>
    <w:uiPriority w:val="99"/>
    <w:unhideWhenUsed/>
    <w:rsid w:val="00FD7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4A"/>
  </w:style>
  <w:style w:type="paragraph" w:styleId="BalloonText">
    <w:name w:val="Balloon Text"/>
    <w:basedOn w:val="Normal"/>
    <w:link w:val="BalloonTextChar"/>
    <w:uiPriority w:val="99"/>
    <w:semiHidden/>
    <w:unhideWhenUsed/>
    <w:rsid w:val="00FD7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Dan Taylor</cp:lastModifiedBy>
  <cp:revision>4</cp:revision>
  <cp:lastPrinted>2019-07-09T15:38:00Z</cp:lastPrinted>
  <dcterms:created xsi:type="dcterms:W3CDTF">2019-07-06T21:02:00Z</dcterms:created>
  <dcterms:modified xsi:type="dcterms:W3CDTF">2019-07-09T15:38:00Z</dcterms:modified>
</cp:coreProperties>
</file>