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BCDD1" w14:textId="12DDD380" w:rsidR="00155BEC" w:rsidRDefault="00181F87" w:rsidP="00654C8A">
      <w:pPr>
        <w:rPr>
          <w:rFonts w:ascii="Times New Roman" w:hAnsi="Times New Roman" w:cs="Times New Roman"/>
          <w:b/>
          <w:bCs/>
          <w:sz w:val="24"/>
          <w:szCs w:val="24"/>
        </w:rPr>
      </w:pPr>
      <w:r>
        <w:rPr>
          <w:rFonts w:ascii="Times New Roman" w:hAnsi="Times New Roman" w:cs="Times New Roman"/>
          <w:b/>
          <w:bCs/>
          <w:sz w:val="24"/>
          <w:szCs w:val="24"/>
        </w:rPr>
        <w:t xml:space="preserve">Article 20 Commercial </w:t>
      </w:r>
      <w:r w:rsidR="00155BEC">
        <w:rPr>
          <w:rFonts w:ascii="Times New Roman" w:hAnsi="Times New Roman" w:cs="Times New Roman"/>
          <w:b/>
          <w:bCs/>
          <w:sz w:val="24"/>
          <w:szCs w:val="24"/>
        </w:rPr>
        <w:t xml:space="preserve">Battery </w:t>
      </w:r>
      <w:r>
        <w:rPr>
          <w:rFonts w:ascii="Times New Roman" w:hAnsi="Times New Roman" w:cs="Times New Roman"/>
          <w:b/>
          <w:bCs/>
          <w:sz w:val="24"/>
          <w:szCs w:val="24"/>
        </w:rPr>
        <w:t xml:space="preserve">Energy </w:t>
      </w:r>
      <w:r w:rsidR="00155BEC">
        <w:rPr>
          <w:rFonts w:ascii="Times New Roman" w:hAnsi="Times New Roman" w:cs="Times New Roman"/>
          <w:b/>
          <w:bCs/>
          <w:sz w:val="24"/>
          <w:szCs w:val="24"/>
        </w:rPr>
        <w:t xml:space="preserve">Storage </w:t>
      </w:r>
      <w:r>
        <w:rPr>
          <w:rFonts w:ascii="Times New Roman" w:hAnsi="Times New Roman" w:cs="Times New Roman"/>
          <w:b/>
          <w:bCs/>
          <w:sz w:val="24"/>
          <w:szCs w:val="24"/>
        </w:rPr>
        <w:t>Systems</w:t>
      </w:r>
    </w:p>
    <w:p w14:paraId="71CB87C6" w14:textId="77777777" w:rsidR="00155BEC" w:rsidRDefault="00155BEC" w:rsidP="00654C8A">
      <w:pPr>
        <w:rPr>
          <w:rFonts w:ascii="Times New Roman" w:hAnsi="Times New Roman" w:cs="Times New Roman"/>
          <w:b/>
          <w:bCs/>
          <w:sz w:val="24"/>
          <w:szCs w:val="24"/>
        </w:rPr>
      </w:pPr>
    </w:p>
    <w:p w14:paraId="1149CB2C" w14:textId="77777777" w:rsidR="00181F87" w:rsidRDefault="00181F87" w:rsidP="00654C8A">
      <w:pPr>
        <w:rPr>
          <w:rFonts w:ascii="Times New Roman" w:hAnsi="Times New Roman" w:cs="Times New Roman"/>
          <w:b/>
          <w:bCs/>
          <w:sz w:val="24"/>
          <w:szCs w:val="24"/>
        </w:rPr>
      </w:pPr>
      <w:r>
        <w:rPr>
          <w:rFonts w:ascii="Times New Roman" w:hAnsi="Times New Roman" w:cs="Times New Roman"/>
          <w:b/>
          <w:bCs/>
          <w:sz w:val="24"/>
          <w:szCs w:val="24"/>
        </w:rPr>
        <w:t xml:space="preserve">20.01 </w:t>
      </w:r>
      <w:r w:rsidR="00D92969" w:rsidRPr="00D92969">
        <w:rPr>
          <w:rFonts w:ascii="Times New Roman" w:hAnsi="Times New Roman" w:cs="Times New Roman"/>
          <w:b/>
          <w:bCs/>
          <w:sz w:val="24"/>
          <w:szCs w:val="24"/>
        </w:rPr>
        <w:t>Purpose</w:t>
      </w:r>
    </w:p>
    <w:p w14:paraId="1A9AD66E" w14:textId="77777777" w:rsidR="00181F87" w:rsidRDefault="00D92969" w:rsidP="00654C8A">
      <w:pPr>
        <w:rPr>
          <w:rFonts w:ascii="Times New Roman" w:hAnsi="Times New Roman" w:cs="Times New Roman"/>
          <w:sz w:val="24"/>
          <w:szCs w:val="24"/>
        </w:rPr>
      </w:pPr>
      <w:r w:rsidRPr="00EE2A63">
        <w:rPr>
          <w:rFonts w:ascii="Times New Roman" w:hAnsi="Times New Roman" w:cs="Times New Roman"/>
          <w:sz w:val="24"/>
          <w:szCs w:val="24"/>
        </w:rPr>
        <w:t>The</w:t>
      </w:r>
      <w:r w:rsidR="00EE2A63" w:rsidRPr="00EE2A63">
        <w:rPr>
          <w:rFonts w:ascii="Times New Roman" w:hAnsi="Times New Roman" w:cs="Times New Roman"/>
          <w:sz w:val="24"/>
          <w:szCs w:val="24"/>
        </w:rPr>
        <w:t xml:space="preserve"> purpose of this Section is to plan for and regulate the use, improvement, and maintenance of real property and the location, condition, and maintenance of structures and other improvements. </w:t>
      </w:r>
      <w:r w:rsidR="00EE2A63">
        <w:rPr>
          <w:rFonts w:ascii="Times New Roman" w:hAnsi="Times New Roman" w:cs="Times New Roman"/>
          <w:sz w:val="24"/>
          <w:szCs w:val="24"/>
        </w:rPr>
        <w:t xml:space="preserve">These regulations allow commercial battery energy storage systems in certain areas, and, therefore, do not have the effect of unreasonably restricting the use of such facilities other than for preservation and protection of public health and safety. These regulations are not intended to and do not have the effect of significantly increasing the cost of system systems, decreasing the efficiency of such systems, or impeding alternative systems of comparable cost and efficiency. </w:t>
      </w:r>
    </w:p>
    <w:p w14:paraId="23EDC4AC" w14:textId="5CA755FE" w:rsidR="00654C8A" w:rsidRDefault="00EE2A63" w:rsidP="00654C8A">
      <w:pPr>
        <w:rPr>
          <w:rFonts w:ascii="Times New Roman" w:hAnsi="Times New Roman" w:cs="Times New Roman"/>
          <w:sz w:val="24"/>
          <w:szCs w:val="24"/>
        </w:rPr>
      </w:pPr>
      <w:r>
        <w:rPr>
          <w:rFonts w:ascii="Times New Roman" w:hAnsi="Times New Roman" w:cs="Times New Roman"/>
          <w:sz w:val="24"/>
          <w:szCs w:val="24"/>
        </w:rPr>
        <w:t xml:space="preserve"> </w:t>
      </w:r>
    </w:p>
    <w:p w14:paraId="11B53DE2" w14:textId="77777777" w:rsidR="00181F87" w:rsidRDefault="00181F87" w:rsidP="00654C8A">
      <w:pPr>
        <w:rPr>
          <w:rFonts w:ascii="Times New Roman" w:hAnsi="Times New Roman" w:cs="Times New Roman"/>
          <w:b/>
          <w:bCs/>
          <w:sz w:val="24"/>
          <w:szCs w:val="24"/>
        </w:rPr>
      </w:pPr>
      <w:r>
        <w:rPr>
          <w:rFonts w:ascii="Times New Roman" w:hAnsi="Times New Roman" w:cs="Times New Roman"/>
          <w:b/>
          <w:bCs/>
          <w:sz w:val="24"/>
          <w:szCs w:val="24"/>
        </w:rPr>
        <w:t xml:space="preserve">20.02 </w:t>
      </w:r>
      <w:r w:rsidR="00947613">
        <w:rPr>
          <w:rFonts w:ascii="Times New Roman" w:hAnsi="Times New Roman" w:cs="Times New Roman"/>
          <w:b/>
          <w:bCs/>
          <w:sz w:val="24"/>
          <w:szCs w:val="24"/>
        </w:rPr>
        <w:t>Definitions</w:t>
      </w:r>
    </w:p>
    <w:p w14:paraId="00686B54" w14:textId="1FE62F0A" w:rsidR="00947613" w:rsidRDefault="00C42F00" w:rsidP="00654C8A">
      <w:pPr>
        <w:rPr>
          <w:rFonts w:ascii="Times New Roman" w:hAnsi="Times New Roman" w:cs="Times New Roman"/>
          <w:sz w:val="24"/>
          <w:szCs w:val="24"/>
        </w:rPr>
      </w:pPr>
      <w:r>
        <w:rPr>
          <w:rFonts w:ascii="Times New Roman" w:hAnsi="Times New Roman" w:cs="Times New Roman"/>
          <w:sz w:val="24"/>
          <w:szCs w:val="24"/>
        </w:rPr>
        <w:t>Commercial b</w:t>
      </w:r>
      <w:r w:rsidR="00947613">
        <w:rPr>
          <w:rFonts w:ascii="Times New Roman" w:hAnsi="Times New Roman" w:cs="Times New Roman"/>
          <w:sz w:val="24"/>
          <w:szCs w:val="24"/>
        </w:rPr>
        <w:t xml:space="preserve">attery energy storage systems </w:t>
      </w:r>
      <w:r w:rsidR="003A78F5">
        <w:rPr>
          <w:rFonts w:ascii="Times New Roman" w:hAnsi="Times New Roman" w:cs="Times New Roman"/>
          <w:sz w:val="24"/>
          <w:szCs w:val="24"/>
        </w:rPr>
        <w:t>mean</w:t>
      </w:r>
      <w:r w:rsidR="00947613">
        <w:rPr>
          <w:rFonts w:ascii="Times New Roman" w:hAnsi="Times New Roman" w:cs="Times New Roman"/>
          <w:sz w:val="24"/>
          <w:szCs w:val="24"/>
        </w:rPr>
        <w:t xml:space="preserve"> one or more devices capable of collecting</w:t>
      </w:r>
      <w:r w:rsidR="00153E62">
        <w:rPr>
          <w:rFonts w:ascii="Times New Roman" w:hAnsi="Times New Roman" w:cs="Times New Roman"/>
          <w:sz w:val="24"/>
          <w:szCs w:val="24"/>
        </w:rPr>
        <w:t>, storing, and distribution</w:t>
      </w:r>
      <w:r w:rsidR="00947613">
        <w:rPr>
          <w:rFonts w:ascii="Times New Roman" w:hAnsi="Times New Roman" w:cs="Times New Roman"/>
          <w:sz w:val="24"/>
          <w:szCs w:val="24"/>
        </w:rPr>
        <w:t xml:space="preserve"> energy in order to distribute electricity at a future time</w:t>
      </w:r>
      <w:r w:rsidR="003A78F5">
        <w:rPr>
          <w:rFonts w:ascii="Times New Roman" w:hAnsi="Times New Roman" w:cs="Times New Roman"/>
          <w:sz w:val="24"/>
          <w:szCs w:val="24"/>
        </w:rPr>
        <w:t xml:space="preserve">. </w:t>
      </w:r>
    </w:p>
    <w:p w14:paraId="1D16EEE8" w14:textId="77777777" w:rsidR="00181F87" w:rsidRDefault="00181F87" w:rsidP="00654C8A">
      <w:pPr>
        <w:rPr>
          <w:rFonts w:ascii="Times New Roman" w:hAnsi="Times New Roman" w:cs="Times New Roman"/>
          <w:sz w:val="24"/>
          <w:szCs w:val="24"/>
        </w:rPr>
      </w:pPr>
    </w:p>
    <w:p w14:paraId="5FDFA518" w14:textId="5F7CB61A" w:rsidR="00181F87" w:rsidRDefault="00181F87" w:rsidP="00654C8A">
      <w:pPr>
        <w:rPr>
          <w:rFonts w:ascii="Times New Roman" w:hAnsi="Times New Roman" w:cs="Times New Roman"/>
          <w:b/>
          <w:bCs/>
          <w:sz w:val="24"/>
          <w:szCs w:val="24"/>
        </w:rPr>
      </w:pPr>
      <w:r w:rsidRPr="00181F87">
        <w:rPr>
          <w:rFonts w:ascii="Times New Roman" w:hAnsi="Times New Roman" w:cs="Times New Roman"/>
          <w:b/>
          <w:bCs/>
          <w:sz w:val="24"/>
          <w:szCs w:val="24"/>
        </w:rPr>
        <w:t>20.03</w:t>
      </w:r>
      <w:r>
        <w:rPr>
          <w:rFonts w:ascii="Times New Roman" w:hAnsi="Times New Roman" w:cs="Times New Roman"/>
          <w:sz w:val="24"/>
          <w:szCs w:val="24"/>
        </w:rPr>
        <w:t xml:space="preserve"> </w:t>
      </w:r>
      <w:r w:rsidR="00C42F00" w:rsidRPr="00111C79">
        <w:rPr>
          <w:rFonts w:ascii="Times New Roman" w:hAnsi="Times New Roman" w:cs="Times New Roman"/>
          <w:b/>
          <w:bCs/>
          <w:sz w:val="24"/>
          <w:szCs w:val="24"/>
        </w:rPr>
        <w:t>Exemptions</w:t>
      </w:r>
    </w:p>
    <w:p w14:paraId="49DA2C2D" w14:textId="62C515D4" w:rsidR="00C42F00" w:rsidRDefault="00111C79" w:rsidP="00654C8A">
      <w:pPr>
        <w:rPr>
          <w:rFonts w:ascii="Times New Roman" w:hAnsi="Times New Roman" w:cs="Times New Roman"/>
          <w:sz w:val="24"/>
          <w:szCs w:val="24"/>
        </w:rPr>
      </w:pPr>
      <w:r>
        <w:rPr>
          <w:rFonts w:ascii="Times New Roman" w:hAnsi="Times New Roman" w:cs="Times New Roman"/>
          <w:sz w:val="24"/>
          <w:szCs w:val="24"/>
        </w:rPr>
        <w:t xml:space="preserve">Battery energy storage systems which collect, store, and distribute energy only for </w:t>
      </w:r>
      <w:r w:rsidR="00181F87">
        <w:rPr>
          <w:rFonts w:ascii="Times New Roman" w:hAnsi="Times New Roman" w:cs="Times New Roman"/>
          <w:sz w:val="24"/>
          <w:szCs w:val="24"/>
        </w:rPr>
        <w:t xml:space="preserve">use at </w:t>
      </w:r>
      <w:r>
        <w:rPr>
          <w:rFonts w:ascii="Times New Roman" w:hAnsi="Times New Roman" w:cs="Times New Roman"/>
          <w:sz w:val="24"/>
          <w:szCs w:val="24"/>
        </w:rPr>
        <w:t>a residence</w:t>
      </w:r>
      <w:r w:rsidR="00181F87">
        <w:rPr>
          <w:rFonts w:ascii="Times New Roman" w:hAnsi="Times New Roman" w:cs="Times New Roman"/>
          <w:sz w:val="24"/>
          <w:szCs w:val="24"/>
        </w:rPr>
        <w:t xml:space="preserve"> or business</w:t>
      </w:r>
      <w:r>
        <w:rPr>
          <w:rFonts w:ascii="Times New Roman" w:hAnsi="Times New Roman" w:cs="Times New Roman"/>
          <w:sz w:val="24"/>
          <w:szCs w:val="24"/>
        </w:rPr>
        <w:t xml:space="preserve"> are exempt from this regulation. </w:t>
      </w:r>
    </w:p>
    <w:p w14:paraId="541AEEF3" w14:textId="77777777" w:rsidR="00181F87" w:rsidRDefault="00181F87" w:rsidP="00654C8A">
      <w:pPr>
        <w:rPr>
          <w:rFonts w:ascii="Times New Roman" w:hAnsi="Times New Roman" w:cs="Times New Roman"/>
          <w:sz w:val="24"/>
          <w:szCs w:val="24"/>
        </w:rPr>
      </w:pPr>
    </w:p>
    <w:p w14:paraId="403B7BC1" w14:textId="77777777" w:rsidR="00181F87" w:rsidRDefault="00181F87" w:rsidP="00654C8A">
      <w:pPr>
        <w:rPr>
          <w:rFonts w:ascii="Times New Roman" w:hAnsi="Times New Roman" w:cs="Times New Roman"/>
          <w:b/>
          <w:bCs/>
          <w:sz w:val="24"/>
          <w:szCs w:val="24"/>
        </w:rPr>
      </w:pPr>
      <w:r w:rsidRPr="00181F87">
        <w:rPr>
          <w:rFonts w:ascii="Times New Roman" w:hAnsi="Times New Roman" w:cs="Times New Roman"/>
          <w:b/>
          <w:bCs/>
          <w:sz w:val="24"/>
          <w:szCs w:val="24"/>
        </w:rPr>
        <w:t xml:space="preserve">20.04 </w:t>
      </w:r>
      <w:r w:rsidR="00EE2A63" w:rsidRPr="00181F87">
        <w:rPr>
          <w:rFonts w:ascii="Times New Roman" w:hAnsi="Times New Roman" w:cs="Times New Roman"/>
          <w:b/>
          <w:bCs/>
          <w:sz w:val="24"/>
          <w:szCs w:val="24"/>
        </w:rPr>
        <w:t>Permitted</w:t>
      </w:r>
      <w:r w:rsidR="00EE2A63" w:rsidRPr="00EE2A63">
        <w:rPr>
          <w:rFonts w:ascii="Times New Roman" w:hAnsi="Times New Roman" w:cs="Times New Roman"/>
          <w:b/>
          <w:bCs/>
          <w:sz w:val="24"/>
          <w:szCs w:val="24"/>
        </w:rPr>
        <w:t xml:space="preserve"> Districts</w:t>
      </w:r>
    </w:p>
    <w:p w14:paraId="1DC59A3D" w14:textId="23EA876A" w:rsidR="00ED2583" w:rsidRDefault="00EE2A63" w:rsidP="00ED2583">
      <w:pPr>
        <w:tabs>
          <w:tab w:val="left" w:pos="1080"/>
        </w:tabs>
        <w:spacing w:after="0"/>
        <w:rPr>
          <w:rFonts w:ascii="Times New Roman" w:eastAsia="Calibri" w:hAnsi="Times New Roman" w:cs="Times New Roman"/>
          <w:sz w:val="24"/>
          <w:szCs w:val="24"/>
        </w:rPr>
      </w:pPr>
      <w:r>
        <w:rPr>
          <w:rFonts w:ascii="Times New Roman" w:hAnsi="Times New Roman" w:cs="Times New Roman"/>
          <w:sz w:val="24"/>
          <w:szCs w:val="24"/>
        </w:rPr>
        <w:t xml:space="preserve">Commercial battery energy storage systems are </w:t>
      </w:r>
      <w:r w:rsidR="00153E62">
        <w:rPr>
          <w:rFonts w:ascii="Times New Roman" w:hAnsi="Times New Roman" w:cs="Times New Roman"/>
          <w:sz w:val="24"/>
          <w:szCs w:val="24"/>
        </w:rPr>
        <w:t>allowed</w:t>
      </w:r>
      <w:r>
        <w:rPr>
          <w:rFonts w:ascii="Times New Roman" w:hAnsi="Times New Roman" w:cs="Times New Roman"/>
          <w:sz w:val="24"/>
          <w:szCs w:val="24"/>
        </w:rPr>
        <w:t xml:space="preserve"> only in </w:t>
      </w:r>
      <w:r w:rsidR="00181F87">
        <w:rPr>
          <w:rFonts w:ascii="Times New Roman" w:hAnsi="Times New Roman" w:cs="Times New Roman"/>
          <w:sz w:val="24"/>
          <w:szCs w:val="24"/>
        </w:rPr>
        <w:t xml:space="preserve">Agriculture Overlay and </w:t>
      </w:r>
      <w:r>
        <w:rPr>
          <w:rFonts w:ascii="Times New Roman" w:hAnsi="Times New Roman" w:cs="Times New Roman"/>
          <w:sz w:val="24"/>
          <w:szCs w:val="24"/>
        </w:rPr>
        <w:t xml:space="preserve">Industrial Zoning Districts. </w:t>
      </w:r>
      <w:r w:rsidR="00ED2583" w:rsidRPr="00F87F5D">
        <w:rPr>
          <w:rFonts w:ascii="Times New Roman" w:eastAsia="Calibri" w:hAnsi="Times New Roman" w:cs="Times New Roman"/>
          <w:sz w:val="24"/>
          <w:szCs w:val="24"/>
        </w:rPr>
        <w:t xml:space="preserve">If a rezone application is made relating to a Commercial </w:t>
      </w:r>
      <w:r w:rsidR="00ED2583">
        <w:rPr>
          <w:rFonts w:ascii="Times New Roman" w:eastAsia="Calibri" w:hAnsi="Times New Roman" w:cs="Times New Roman"/>
          <w:sz w:val="24"/>
          <w:szCs w:val="24"/>
        </w:rPr>
        <w:t>Battery Energy Storage</w:t>
      </w:r>
      <w:r w:rsidR="00ED2583" w:rsidRPr="00F87F5D">
        <w:rPr>
          <w:rFonts w:ascii="Times New Roman" w:eastAsia="Calibri" w:hAnsi="Times New Roman" w:cs="Times New Roman"/>
          <w:sz w:val="24"/>
          <w:szCs w:val="24"/>
        </w:rPr>
        <w:t xml:space="preserve"> System, the </w:t>
      </w:r>
      <w:r w:rsidR="00ED2583">
        <w:rPr>
          <w:rFonts w:ascii="Times New Roman" w:eastAsia="Calibri" w:hAnsi="Times New Roman" w:cs="Times New Roman"/>
          <w:sz w:val="24"/>
          <w:szCs w:val="24"/>
        </w:rPr>
        <w:t>applicant</w:t>
      </w:r>
      <w:r w:rsidR="00ED2583" w:rsidRPr="00F87F5D">
        <w:rPr>
          <w:rFonts w:ascii="Times New Roman" w:eastAsia="Calibri" w:hAnsi="Times New Roman" w:cs="Times New Roman"/>
          <w:sz w:val="24"/>
          <w:szCs w:val="24"/>
        </w:rPr>
        <w:t xml:space="preserve"> must submit with the petition the following information:</w:t>
      </w:r>
    </w:p>
    <w:p w14:paraId="457EA9D7" w14:textId="77777777" w:rsidR="00ED2583" w:rsidRPr="00F87F5D" w:rsidRDefault="00ED2583" w:rsidP="00ED2583">
      <w:pPr>
        <w:tabs>
          <w:tab w:val="left" w:pos="1080"/>
        </w:tabs>
        <w:spacing w:after="0"/>
        <w:rPr>
          <w:rFonts w:ascii="Times New Roman" w:eastAsia="Calibri" w:hAnsi="Times New Roman" w:cs="Times New Roman"/>
          <w:sz w:val="24"/>
          <w:szCs w:val="24"/>
        </w:rPr>
      </w:pPr>
    </w:p>
    <w:p w14:paraId="40BAEA15" w14:textId="77777777" w:rsidR="00ED2583" w:rsidRPr="00F87F5D" w:rsidRDefault="00ED2583" w:rsidP="00ED2583">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t>A.  Detailed design of the project;</w:t>
      </w:r>
    </w:p>
    <w:p w14:paraId="5DB2EBE3" w14:textId="407DF61C" w:rsidR="00ED2583" w:rsidRPr="00F87F5D" w:rsidRDefault="00ED2583" w:rsidP="00ED2583">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t xml:space="preserve">B.  </w:t>
      </w:r>
      <w:r>
        <w:rPr>
          <w:rFonts w:ascii="Times New Roman" w:eastAsia="Calibri" w:hAnsi="Times New Roman" w:cs="Times New Roman"/>
          <w:sz w:val="24"/>
          <w:szCs w:val="24"/>
        </w:rPr>
        <w:t>Access and Traffic Circulation</w:t>
      </w:r>
      <w:r w:rsidRPr="00F87F5D">
        <w:rPr>
          <w:rFonts w:ascii="Times New Roman" w:eastAsia="Calibri" w:hAnsi="Times New Roman" w:cs="Times New Roman"/>
          <w:sz w:val="24"/>
          <w:szCs w:val="24"/>
        </w:rPr>
        <w:t xml:space="preserve"> Plan;</w:t>
      </w:r>
    </w:p>
    <w:p w14:paraId="34104F83" w14:textId="77777777" w:rsidR="00ED2583" w:rsidRPr="00F87F5D" w:rsidRDefault="00ED2583" w:rsidP="00ED2583">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t>C.  Decommissioning Plan;</w:t>
      </w:r>
    </w:p>
    <w:p w14:paraId="70C72B94" w14:textId="0B88F47D" w:rsidR="00ED2583" w:rsidRPr="00F87F5D" w:rsidRDefault="00ED2583" w:rsidP="00ED2583">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t xml:space="preserve">D.  Fire </w:t>
      </w:r>
      <w:r>
        <w:rPr>
          <w:rFonts w:ascii="Times New Roman" w:eastAsia="Calibri" w:hAnsi="Times New Roman" w:cs="Times New Roman"/>
          <w:sz w:val="24"/>
          <w:szCs w:val="24"/>
        </w:rPr>
        <w:t xml:space="preserve">Prevention &amp; </w:t>
      </w:r>
      <w:r w:rsidRPr="00F87F5D">
        <w:rPr>
          <w:rFonts w:ascii="Times New Roman" w:eastAsia="Calibri" w:hAnsi="Times New Roman" w:cs="Times New Roman"/>
          <w:sz w:val="24"/>
          <w:szCs w:val="24"/>
        </w:rPr>
        <w:t>Control Plan;</w:t>
      </w:r>
    </w:p>
    <w:p w14:paraId="23DFC88D" w14:textId="77777777" w:rsidR="00ED2583" w:rsidRPr="00F87F5D" w:rsidRDefault="00ED2583" w:rsidP="00ED2583">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t>E.  Hazardous Materials Handling Plan;</w:t>
      </w:r>
    </w:p>
    <w:p w14:paraId="5B1D7F65" w14:textId="77777777" w:rsidR="00ED2583" w:rsidRPr="00F87F5D" w:rsidRDefault="00ED2583" w:rsidP="00ED2583">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t>F.  Drainage Plan which complies with County ordinances;</w:t>
      </w:r>
    </w:p>
    <w:p w14:paraId="15AD2C0C" w14:textId="77777777" w:rsidR="00ED2583" w:rsidRPr="00F87F5D" w:rsidRDefault="00ED2583" w:rsidP="00ED2583">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t>G.  Lighting Plan;</w:t>
      </w:r>
    </w:p>
    <w:p w14:paraId="2F7F807B" w14:textId="5A4B368F" w:rsidR="00ED2583" w:rsidRPr="00F87F5D" w:rsidRDefault="00ED2583" w:rsidP="00ED2583">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t xml:space="preserve">H.  </w:t>
      </w:r>
      <w:r>
        <w:rPr>
          <w:rFonts w:ascii="Times New Roman" w:eastAsia="Calibri" w:hAnsi="Times New Roman" w:cs="Times New Roman"/>
          <w:sz w:val="24"/>
          <w:szCs w:val="24"/>
        </w:rPr>
        <w:t>Landscape Plan</w:t>
      </w:r>
      <w:r w:rsidRPr="00F87F5D">
        <w:rPr>
          <w:rFonts w:ascii="Times New Roman" w:eastAsia="Calibri" w:hAnsi="Times New Roman" w:cs="Times New Roman"/>
          <w:sz w:val="24"/>
          <w:szCs w:val="24"/>
        </w:rPr>
        <w:t>;</w:t>
      </w:r>
      <w:r>
        <w:rPr>
          <w:rFonts w:ascii="Times New Roman" w:eastAsia="Calibri" w:hAnsi="Times New Roman" w:cs="Times New Roman"/>
          <w:sz w:val="24"/>
          <w:szCs w:val="24"/>
        </w:rPr>
        <w:t xml:space="preserve"> and</w:t>
      </w:r>
    </w:p>
    <w:p w14:paraId="4970CA65" w14:textId="3909C07E" w:rsidR="00ED2583" w:rsidRPr="00F87F5D" w:rsidRDefault="00ED2583" w:rsidP="00ED2583">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t xml:space="preserve">I.  </w:t>
      </w:r>
      <w:r w:rsidR="000A44A8">
        <w:rPr>
          <w:rFonts w:ascii="Times New Roman" w:eastAsia="Calibri" w:hAnsi="Times New Roman" w:cs="Times New Roman"/>
          <w:sz w:val="24"/>
          <w:szCs w:val="24"/>
        </w:rPr>
        <w:t>Signage</w:t>
      </w:r>
      <w:r w:rsidRPr="00F87F5D">
        <w:rPr>
          <w:rFonts w:ascii="Times New Roman" w:eastAsia="Calibri" w:hAnsi="Times New Roman" w:cs="Times New Roman"/>
          <w:sz w:val="24"/>
          <w:szCs w:val="24"/>
        </w:rPr>
        <w:t xml:space="preserve"> Plan</w:t>
      </w:r>
    </w:p>
    <w:p w14:paraId="07116B1F" w14:textId="2BDB5AD5" w:rsidR="00ED2583" w:rsidRPr="00F87F5D" w:rsidRDefault="00ED2583" w:rsidP="00ED2583">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r>
    </w:p>
    <w:p w14:paraId="130809CB" w14:textId="4247435A" w:rsidR="00654C8A" w:rsidRDefault="00654C8A" w:rsidP="00654C8A">
      <w:pPr>
        <w:rPr>
          <w:rFonts w:ascii="Times New Roman" w:hAnsi="Times New Roman" w:cs="Times New Roman"/>
          <w:sz w:val="24"/>
          <w:szCs w:val="24"/>
        </w:rPr>
      </w:pPr>
    </w:p>
    <w:p w14:paraId="41919BC2" w14:textId="77777777" w:rsidR="00181F87" w:rsidRDefault="00181F87" w:rsidP="00654C8A">
      <w:pPr>
        <w:rPr>
          <w:rFonts w:ascii="Times New Roman" w:hAnsi="Times New Roman" w:cs="Times New Roman"/>
          <w:sz w:val="24"/>
          <w:szCs w:val="24"/>
        </w:rPr>
      </w:pPr>
    </w:p>
    <w:p w14:paraId="40987932" w14:textId="77777777" w:rsidR="00181F87" w:rsidRDefault="00181F87" w:rsidP="00654C8A">
      <w:pPr>
        <w:rPr>
          <w:rFonts w:ascii="Times New Roman" w:hAnsi="Times New Roman" w:cs="Times New Roman"/>
          <w:b/>
          <w:bCs/>
          <w:sz w:val="24"/>
          <w:szCs w:val="24"/>
        </w:rPr>
      </w:pPr>
      <w:r>
        <w:rPr>
          <w:rFonts w:ascii="Times New Roman" w:hAnsi="Times New Roman" w:cs="Times New Roman"/>
          <w:b/>
          <w:bCs/>
          <w:sz w:val="24"/>
          <w:szCs w:val="24"/>
        </w:rPr>
        <w:t xml:space="preserve">20.05 </w:t>
      </w:r>
      <w:r w:rsidR="00EE2A63" w:rsidRPr="00EE2A63">
        <w:rPr>
          <w:rFonts w:ascii="Times New Roman" w:hAnsi="Times New Roman" w:cs="Times New Roman"/>
          <w:b/>
          <w:bCs/>
          <w:sz w:val="24"/>
          <w:szCs w:val="24"/>
        </w:rPr>
        <w:t>Setbacks</w:t>
      </w:r>
    </w:p>
    <w:p w14:paraId="12C84D8E" w14:textId="1278EE8F" w:rsidR="00181F87" w:rsidRDefault="00EE2A63" w:rsidP="00654C8A">
      <w:pPr>
        <w:rPr>
          <w:rFonts w:ascii="Times New Roman" w:hAnsi="Times New Roman" w:cs="Times New Roman"/>
          <w:sz w:val="24"/>
          <w:szCs w:val="24"/>
        </w:rPr>
      </w:pPr>
      <w:r>
        <w:rPr>
          <w:rFonts w:ascii="Times New Roman" w:hAnsi="Times New Roman" w:cs="Times New Roman"/>
          <w:sz w:val="24"/>
          <w:szCs w:val="24"/>
        </w:rPr>
        <w:t>All commercial battery energy storage systems must be at least three (300) hundred feet from any property line, three hundred (300) feet from the center of any road, street, highway, alley, or public way, at least one thousand (1000) feet from the property line if adjoined by property that is zoned residential. When commercial battery energy storage systems for a single project encompass multiple parcels, there is no required setback from a property line for internal property lines in the project. Securi</w:t>
      </w:r>
      <w:r w:rsidR="00153E62">
        <w:rPr>
          <w:rFonts w:ascii="Times New Roman" w:hAnsi="Times New Roman" w:cs="Times New Roman"/>
          <w:sz w:val="24"/>
          <w:szCs w:val="24"/>
        </w:rPr>
        <w:t>ty</w:t>
      </w:r>
      <w:r>
        <w:rPr>
          <w:rFonts w:ascii="Times New Roman" w:hAnsi="Times New Roman" w:cs="Times New Roman"/>
          <w:sz w:val="24"/>
          <w:szCs w:val="24"/>
        </w:rPr>
        <w:t xml:space="preserve"> fencing, access roads, and distribution power and communication lines may be located within the set-backs but may not be located in a road right-of-way. </w:t>
      </w:r>
    </w:p>
    <w:p w14:paraId="07AC641B" w14:textId="77777777" w:rsidR="00181F87" w:rsidRDefault="00181F87" w:rsidP="00654C8A">
      <w:pPr>
        <w:rPr>
          <w:rFonts w:ascii="Times New Roman" w:hAnsi="Times New Roman" w:cs="Times New Roman"/>
          <w:sz w:val="24"/>
          <w:szCs w:val="24"/>
        </w:rPr>
      </w:pPr>
    </w:p>
    <w:p w14:paraId="509F97DC" w14:textId="77777777" w:rsidR="00181F87" w:rsidRDefault="00181F87" w:rsidP="00654C8A">
      <w:pPr>
        <w:rPr>
          <w:rFonts w:ascii="Times New Roman" w:hAnsi="Times New Roman" w:cs="Times New Roman"/>
          <w:b/>
          <w:bCs/>
          <w:sz w:val="24"/>
          <w:szCs w:val="24"/>
        </w:rPr>
      </w:pPr>
      <w:r>
        <w:rPr>
          <w:rFonts w:ascii="Times New Roman" w:hAnsi="Times New Roman" w:cs="Times New Roman"/>
          <w:b/>
          <w:bCs/>
          <w:sz w:val="24"/>
          <w:szCs w:val="24"/>
        </w:rPr>
        <w:t xml:space="preserve">20.06 </w:t>
      </w:r>
      <w:r w:rsidR="00EE2A63">
        <w:rPr>
          <w:rFonts w:ascii="Times New Roman" w:hAnsi="Times New Roman" w:cs="Times New Roman"/>
          <w:b/>
          <w:bCs/>
          <w:sz w:val="24"/>
          <w:szCs w:val="24"/>
        </w:rPr>
        <w:t>Fencing</w:t>
      </w:r>
    </w:p>
    <w:p w14:paraId="2D39D0E2" w14:textId="105965B5" w:rsidR="00EE2A63" w:rsidRDefault="00EE2A63" w:rsidP="00654C8A">
      <w:pPr>
        <w:rPr>
          <w:rFonts w:ascii="Times New Roman" w:hAnsi="Times New Roman" w:cs="Times New Roman"/>
          <w:sz w:val="24"/>
          <w:szCs w:val="24"/>
        </w:rPr>
      </w:pPr>
      <w:r>
        <w:rPr>
          <w:rFonts w:ascii="Times New Roman" w:hAnsi="Times New Roman" w:cs="Times New Roman"/>
          <w:b/>
          <w:bCs/>
          <w:sz w:val="24"/>
          <w:szCs w:val="24"/>
        </w:rPr>
        <w:t xml:space="preserve"> </w:t>
      </w:r>
      <w:r w:rsidR="003A78F5">
        <w:rPr>
          <w:rFonts w:ascii="Times New Roman" w:hAnsi="Times New Roman" w:cs="Times New Roman"/>
          <w:sz w:val="24"/>
          <w:szCs w:val="24"/>
        </w:rPr>
        <w:t>The entire perimeter of all</w:t>
      </w:r>
      <w:r>
        <w:rPr>
          <w:rFonts w:ascii="Times New Roman" w:hAnsi="Times New Roman" w:cs="Times New Roman"/>
          <w:sz w:val="24"/>
          <w:szCs w:val="24"/>
        </w:rPr>
        <w:t xml:space="preserve"> commercial battery energy storage systems</w:t>
      </w:r>
      <w:r>
        <w:rPr>
          <w:rFonts w:ascii="Times New Roman" w:hAnsi="Times New Roman" w:cs="Times New Roman"/>
          <w:b/>
          <w:bCs/>
          <w:sz w:val="24"/>
          <w:szCs w:val="24"/>
        </w:rPr>
        <w:t xml:space="preserve"> </w:t>
      </w:r>
      <w:r w:rsidRPr="00EE2A63">
        <w:rPr>
          <w:rFonts w:ascii="Times New Roman" w:hAnsi="Times New Roman" w:cs="Times New Roman"/>
          <w:sz w:val="24"/>
          <w:szCs w:val="24"/>
        </w:rPr>
        <w:t xml:space="preserve">shall be surrounded </w:t>
      </w:r>
      <w:r>
        <w:rPr>
          <w:rFonts w:ascii="Times New Roman" w:hAnsi="Times New Roman" w:cs="Times New Roman"/>
          <w:sz w:val="24"/>
          <w:szCs w:val="24"/>
        </w:rPr>
        <w:t xml:space="preserve">by a security fence of </w:t>
      </w:r>
      <w:r w:rsidR="009A105B">
        <w:rPr>
          <w:rFonts w:ascii="Times New Roman" w:hAnsi="Times New Roman" w:cs="Times New Roman"/>
          <w:sz w:val="24"/>
          <w:szCs w:val="24"/>
        </w:rPr>
        <w:t>not less than the height of the commercial battery energy storage system</w:t>
      </w:r>
      <w:r w:rsidR="00153E62">
        <w:rPr>
          <w:rFonts w:ascii="Times New Roman" w:hAnsi="Times New Roman" w:cs="Times New Roman"/>
          <w:sz w:val="24"/>
          <w:szCs w:val="24"/>
        </w:rPr>
        <w:t>(s)</w:t>
      </w:r>
      <w:r w:rsidR="009A105B">
        <w:rPr>
          <w:rFonts w:ascii="Times New Roman" w:hAnsi="Times New Roman" w:cs="Times New Roman"/>
          <w:sz w:val="24"/>
          <w:szCs w:val="24"/>
        </w:rPr>
        <w:t xml:space="preserve"> </w:t>
      </w:r>
      <w:r w:rsidR="006824BE">
        <w:rPr>
          <w:rFonts w:ascii="Times New Roman" w:hAnsi="Times New Roman" w:cs="Times New Roman"/>
          <w:sz w:val="24"/>
          <w:szCs w:val="24"/>
        </w:rPr>
        <w:t>to</w:t>
      </w:r>
      <w:r w:rsidR="009A105B">
        <w:rPr>
          <w:rFonts w:ascii="Times New Roman" w:hAnsi="Times New Roman" w:cs="Times New Roman"/>
          <w:sz w:val="24"/>
          <w:szCs w:val="24"/>
        </w:rPr>
        <w:t xml:space="preserve"> prevent unauthorized access. Fences shall be black opaque vinyl coated chain </w:t>
      </w:r>
      <w:r w:rsidR="00153E62">
        <w:rPr>
          <w:rFonts w:ascii="Times New Roman" w:hAnsi="Times New Roman" w:cs="Times New Roman"/>
          <w:sz w:val="24"/>
          <w:szCs w:val="24"/>
        </w:rPr>
        <w:t>link.</w:t>
      </w:r>
      <w:r w:rsidR="009A105B">
        <w:rPr>
          <w:rFonts w:ascii="Times New Roman" w:hAnsi="Times New Roman" w:cs="Times New Roman"/>
          <w:sz w:val="24"/>
          <w:szCs w:val="24"/>
        </w:rPr>
        <w:t xml:space="preserve"> All gates will be locked</w:t>
      </w:r>
      <w:r w:rsidR="006824BE">
        <w:rPr>
          <w:rFonts w:ascii="Times New Roman" w:hAnsi="Times New Roman" w:cs="Times New Roman"/>
          <w:sz w:val="24"/>
          <w:szCs w:val="24"/>
        </w:rPr>
        <w:t>.</w:t>
      </w:r>
      <w:r w:rsidR="009A105B">
        <w:rPr>
          <w:rFonts w:ascii="Times New Roman" w:hAnsi="Times New Roman" w:cs="Times New Roman"/>
          <w:sz w:val="24"/>
          <w:szCs w:val="24"/>
        </w:rPr>
        <w:t xml:space="preserve"> The applicant will place a sign, not to exceed </w:t>
      </w:r>
      <w:r w:rsidR="006824BE">
        <w:rPr>
          <w:rFonts w:ascii="Times New Roman" w:hAnsi="Times New Roman" w:cs="Times New Roman"/>
          <w:sz w:val="24"/>
          <w:szCs w:val="24"/>
        </w:rPr>
        <w:t xml:space="preserve">eight </w:t>
      </w:r>
      <w:r w:rsidR="009A105B">
        <w:rPr>
          <w:rFonts w:ascii="Times New Roman" w:hAnsi="Times New Roman" w:cs="Times New Roman"/>
          <w:sz w:val="24"/>
          <w:szCs w:val="24"/>
        </w:rPr>
        <w:t>(</w:t>
      </w:r>
      <w:r w:rsidR="006824BE">
        <w:rPr>
          <w:rFonts w:ascii="Times New Roman" w:hAnsi="Times New Roman" w:cs="Times New Roman"/>
          <w:sz w:val="24"/>
          <w:szCs w:val="24"/>
        </w:rPr>
        <w:t>8</w:t>
      </w:r>
      <w:r w:rsidR="009A105B">
        <w:rPr>
          <w:rFonts w:ascii="Times New Roman" w:hAnsi="Times New Roman" w:cs="Times New Roman"/>
          <w:sz w:val="24"/>
          <w:szCs w:val="24"/>
        </w:rPr>
        <w:t xml:space="preserve">) feet in area, which contains the name and address of the operator and an emergency telephone contact number for the operator. </w:t>
      </w:r>
    </w:p>
    <w:p w14:paraId="624B7FAE" w14:textId="77777777" w:rsidR="00ED2583" w:rsidRDefault="00ED2583" w:rsidP="00654C8A">
      <w:pPr>
        <w:rPr>
          <w:rFonts w:ascii="Times New Roman" w:hAnsi="Times New Roman" w:cs="Times New Roman"/>
          <w:sz w:val="24"/>
          <w:szCs w:val="24"/>
        </w:rPr>
      </w:pPr>
    </w:p>
    <w:p w14:paraId="27299FA6" w14:textId="77777777" w:rsidR="00181F87" w:rsidRDefault="00181F87" w:rsidP="00654C8A">
      <w:pPr>
        <w:rPr>
          <w:rFonts w:ascii="Times New Roman" w:hAnsi="Times New Roman" w:cs="Times New Roman"/>
          <w:b/>
          <w:bCs/>
          <w:sz w:val="24"/>
          <w:szCs w:val="24"/>
        </w:rPr>
      </w:pPr>
      <w:r>
        <w:rPr>
          <w:rFonts w:ascii="Times New Roman" w:hAnsi="Times New Roman" w:cs="Times New Roman"/>
          <w:b/>
          <w:bCs/>
          <w:sz w:val="24"/>
          <w:szCs w:val="24"/>
        </w:rPr>
        <w:t xml:space="preserve">20.07 </w:t>
      </w:r>
      <w:r w:rsidR="006824BE">
        <w:rPr>
          <w:rFonts w:ascii="Times New Roman" w:hAnsi="Times New Roman" w:cs="Times New Roman"/>
          <w:b/>
          <w:bCs/>
          <w:sz w:val="24"/>
          <w:szCs w:val="24"/>
        </w:rPr>
        <w:t>Screening</w:t>
      </w:r>
    </w:p>
    <w:p w14:paraId="04A9A82D" w14:textId="265289E2" w:rsidR="003A78F5" w:rsidRDefault="009A105B" w:rsidP="00654C8A">
      <w:pPr>
        <w:rPr>
          <w:rFonts w:ascii="Times New Roman" w:hAnsi="Times New Roman" w:cs="Times New Roman"/>
          <w:sz w:val="24"/>
          <w:szCs w:val="24"/>
        </w:rPr>
      </w:pPr>
      <w:r>
        <w:rPr>
          <w:rFonts w:ascii="Times New Roman" w:hAnsi="Times New Roman" w:cs="Times New Roman"/>
          <w:sz w:val="24"/>
          <w:szCs w:val="24"/>
        </w:rPr>
        <w:t xml:space="preserve">All commercial battery energy storage systems </w:t>
      </w:r>
      <w:r w:rsidRPr="00EE2A63">
        <w:rPr>
          <w:rFonts w:ascii="Times New Roman" w:hAnsi="Times New Roman" w:cs="Times New Roman"/>
          <w:sz w:val="24"/>
          <w:szCs w:val="24"/>
        </w:rPr>
        <w:t xml:space="preserve">shall be surrounded </w:t>
      </w:r>
      <w:r>
        <w:rPr>
          <w:rFonts w:ascii="Times New Roman" w:hAnsi="Times New Roman" w:cs="Times New Roman"/>
          <w:sz w:val="24"/>
          <w:szCs w:val="24"/>
        </w:rPr>
        <w:t xml:space="preserve">by a </w:t>
      </w:r>
      <w:r w:rsidR="003A78F5">
        <w:rPr>
          <w:rFonts w:ascii="Times New Roman" w:hAnsi="Times New Roman" w:cs="Times New Roman"/>
          <w:sz w:val="24"/>
          <w:szCs w:val="24"/>
        </w:rPr>
        <w:t>vegetative screening along the outside of the perimeter of the fence at a suitable height and density to minimize the view of the systems. Screening shall, at a minimum, be the height of the required fencing</w:t>
      </w:r>
      <w:r w:rsidR="00181F87">
        <w:rPr>
          <w:rFonts w:ascii="Times New Roman" w:hAnsi="Times New Roman" w:cs="Times New Roman"/>
          <w:sz w:val="24"/>
          <w:szCs w:val="24"/>
        </w:rPr>
        <w:t xml:space="preserve"> and shall, at a minimum, include one evergreen for every 60 lineal feet.  The landscape screen shall be part of a required buffer yard that is </w:t>
      </w:r>
      <w:r w:rsidR="00145020">
        <w:rPr>
          <w:rFonts w:ascii="Times New Roman" w:hAnsi="Times New Roman" w:cs="Times New Roman"/>
          <w:sz w:val="24"/>
          <w:szCs w:val="24"/>
        </w:rPr>
        <w:t>at least 50 feet in width from the required fencing.</w:t>
      </w:r>
    </w:p>
    <w:p w14:paraId="2DC6A920" w14:textId="77777777" w:rsidR="00145020" w:rsidRDefault="00145020" w:rsidP="00654C8A">
      <w:pPr>
        <w:rPr>
          <w:rFonts w:ascii="Times New Roman" w:hAnsi="Times New Roman" w:cs="Times New Roman"/>
          <w:sz w:val="24"/>
          <w:szCs w:val="24"/>
        </w:rPr>
      </w:pPr>
    </w:p>
    <w:p w14:paraId="06624FA2" w14:textId="77777777" w:rsidR="00145020" w:rsidRDefault="00145020" w:rsidP="00654C8A">
      <w:pPr>
        <w:rPr>
          <w:rFonts w:ascii="Times New Roman" w:hAnsi="Times New Roman" w:cs="Times New Roman"/>
          <w:b/>
          <w:bCs/>
          <w:sz w:val="24"/>
          <w:szCs w:val="24"/>
        </w:rPr>
      </w:pPr>
      <w:r w:rsidRPr="00145020">
        <w:rPr>
          <w:rFonts w:ascii="Times New Roman" w:hAnsi="Times New Roman" w:cs="Times New Roman"/>
          <w:b/>
          <w:bCs/>
          <w:sz w:val="24"/>
          <w:szCs w:val="24"/>
        </w:rPr>
        <w:t>20.08</w:t>
      </w:r>
      <w:r>
        <w:rPr>
          <w:rFonts w:ascii="Times New Roman" w:hAnsi="Times New Roman" w:cs="Times New Roman"/>
          <w:sz w:val="24"/>
          <w:szCs w:val="24"/>
        </w:rPr>
        <w:t xml:space="preserve"> </w:t>
      </w:r>
      <w:r w:rsidR="009A105B">
        <w:rPr>
          <w:rFonts w:ascii="Times New Roman" w:hAnsi="Times New Roman" w:cs="Times New Roman"/>
          <w:b/>
          <w:bCs/>
          <w:sz w:val="24"/>
          <w:szCs w:val="24"/>
        </w:rPr>
        <w:t>Exterior Lighting</w:t>
      </w:r>
    </w:p>
    <w:p w14:paraId="43CA26F6" w14:textId="26FE5728" w:rsidR="009A105B" w:rsidRDefault="009A105B" w:rsidP="00654C8A">
      <w:pPr>
        <w:rPr>
          <w:rFonts w:ascii="Times New Roman" w:hAnsi="Times New Roman" w:cs="Times New Roman"/>
          <w:sz w:val="24"/>
          <w:szCs w:val="24"/>
        </w:rPr>
      </w:pPr>
      <w:r>
        <w:rPr>
          <w:rFonts w:ascii="Times New Roman" w:hAnsi="Times New Roman" w:cs="Times New Roman"/>
          <w:sz w:val="24"/>
          <w:szCs w:val="24"/>
        </w:rPr>
        <w:t xml:space="preserve">All exterior safety lighting will be developed in a manner which precludes light trespass onto adjoining parcels and which is limited to the amount of light needed for maintenance, safety, and security. </w:t>
      </w:r>
    </w:p>
    <w:p w14:paraId="7DFBF79D" w14:textId="77777777" w:rsidR="00145020" w:rsidRDefault="00145020" w:rsidP="00654C8A">
      <w:pPr>
        <w:rPr>
          <w:rFonts w:ascii="Times New Roman" w:hAnsi="Times New Roman" w:cs="Times New Roman"/>
          <w:sz w:val="24"/>
          <w:szCs w:val="24"/>
        </w:rPr>
      </w:pPr>
    </w:p>
    <w:p w14:paraId="4857B207" w14:textId="77777777" w:rsidR="00145020" w:rsidRDefault="00145020" w:rsidP="00654C8A">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20.09 </w:t>
      </w:r>
      <w:r w:rsidR="006824BE" w:rsidRPr="006824BE">
        <w:rPr>
          <w:rFonts w:ascii="Times New Roman" w:hAnsi="Times New Roman" w:cs="Times New Roman"/>
          <w:b/>
          <w:bCs/>
          <w:sz w:val="24"/>
          <w:szCs w:val="24"/>
        </w:rPr>
        <w:t>Fire Prevention</w:t>
      </w:r>
      <w:r w:rsidR="006824BE">
        <w:rPr>
          <w:rFonts w:ascii="Times New Roman" w:hAnsi="Times New Roman" w:cs="Times New Roman"/>
          <w:b/>
          <w:bCs/>
          <w:sz w:val="24"/>
          <w:szCs w:val="24"/>
        </w:rPr>
        <w:t>/Suppression</w:t>
      </w:r>
      <w:r w:rsidR="006824BE" w:rsidRPr="006824BE">
        <w:rPr>
          <w:rFonts w:ascii="Times New Roman" w:hAnsi="Times New Roman" w:cs="Times New Roman"/>
          <w:b/>
          <w:bCs/>
          <w:sz w:val="24"/>
          <w:szCs w:val="24"/>
        </w:rPr>
        <w:t xml:space="preserve"> Plan and Requirements</w:t>
      </w:r>
    </w:p>
    <w:p w14:paraId="7D94B845" w14:textId="6EF370A9" w:rsidR="006824BE" w:rsidRDefault="00145020" w:rsidP="00654C8A">
      <w:pPr>
        <w:rPr>
          <w:rFonts w:ascii="Times New Roman" w:hAnsi="Times New Roman" w:cs="Times New Roman"/>
          <w:sz w:val="24"/>
          <w:szCs w:val="24"/>
        </w:rPr>
      </w:pPr>
      <w:r>
        <w:rPr>
          <w:rFonts w:ascii="Times New Roman" w:hAnsi="Times New Roman" w:cs="Times New Roman"/>
          <w:sz w:val="24"/>
          <w:szCs w:val="24"/>
        </w:rPr>
        <w:t>At the time of any application for a rezone or development plan review, th</w:t>
      </w:r>
      <w:r w:rsidR="006824BE">
        <w:rPr>
          <w:rFonts w:ascii="Times New Roman" w:hAnsi="Times New Roman" w:cs="Times New Roman"/>
          <w:sz w:val="24"/>
          <w:szCs w:val="24"/>
        </w:rPr>
        <w:t xml:space="preserve">e applicant shall submit a fire prevention </w:t>
      </w:r>
      <w:r w:rsidR="00947613">
        <w:rPr>
          <w:rFonts w:ascii="Times New Roman" w:hAnsi="Times New Roman" w:cs="Times New Roman"/>
          <w:sz w:val="24"/>
          <w:szCs w:val="24"/>
        </w:rPr>
        <w:t xml:space="preserve">and suppression </w:t>
      </w:r>
      <w:r w:rsidR="006824BE">
        <w:rPr>
          <w:rFonts w:ascii="Times New Roman" w:hAnsi="Times New Roman" w:cs="Times New Roman"/>
          <w:sz w:val="24"/>
          <w:szCs w:val="24"/>
        </w:rPr>
        <w:t xml:space="preserve">plan which consists of the following: </w:t>
      </w:r>
    </w:p>
    <w:p w14:paraId="0EF3325D" w14:textId="1A8575E4" w:rsidR="006824BE" w:rsidRDefault="006824BE" w:rsidP="0094761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Description of </w:t>
      </w:r>
      <w:r w:rsidRPr="00947613">
        <w:rPr>
          <w:rFonts w:ascii="Times New Roman" w:hAnsi="Times New Roman" w:cs="Times New Roman"/>
          <w:sz w:val="24"/>
          <w:szCs w:val="24"/>
        </w:rPr>
        <w:t xml:space="preserve">potential fire and emergency scenarios that may require a response from fire, emergency medical services, police, and other emergency responders. </w:t>
      </w:r>
    </w:p>
    <w:p w14:paraId="304AEF83" w14:textId="0B4F0D86" w:rsidR="00947613" w:rsidRDefault="00947613" w:rsidP="00947613">
      <w:pPr>
        <w:pStyle w:val="ListParagraph"/>
        <w:numPr>
          <w:ilvl w:val="0"/>
          <w:numId w:val="2"/>
        </w:numPr>
        <w:rPr>
          <w:rFonts w:ascii="Times New Roman" w:hAnsi="Times New Roman" w:cs="Times New Roman"/>
          <w:sz w:val="24"/>
          <w:szCs w:val="24"/>
        </w:rPr>
      </w:pPr>
      <w:r w:rsidRPr="00947613">
        <w:rPr>
          <w:rFonts w:ascii="Times New Roman" w:hAnsi="Times New Roman" w:cs="Times New Roman"/>
          <w:sz w:val="24"/>
          <w:szCs w:val="24"/>
        </w:rPr>
        <w:t xml:space="preserve">Emergency procedures to be followed in the case of fire, explosion, or other potentially dangerous conditions. Procedures shall include notifying and providing access to the </w:t>
      </w:r>
      <w:r>
        <w:rPr>
          <w:rFonts w:ascii="Times New Roman" w:hAnsi="Times New Roman" w:cs="Times New Roman"/>
          <w:sz w:val="24"/>
          <w:szCs w:val="24"/>
        </w:rPr>
        <w:t>Crawfordsville Fire Department or the closest volunteer fire department.</w:t>
      </w:r>
    </w:p>
    <w:p w14:paraId="44446DFB" w14:textId="79D59702" w:rsidR="00947613" w:rsidRDefault="00947613" w:rsidP="0094761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Other procedures as determined necessary by the County to provide for the safety of occupants, neighboring properties, and emergency responders. </w:t>
      </w:r>
    </w:p>
    <w:p w14:paraId="0E79FED0" w14:textId="06091B94" w:rsidR="00145020" w:rsidRDefault="00145020" w:rsidP="0094761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Details of the applicant’s plan to comply with the National Fire Prevention Association (NFPA) Standard 855, including, but not limited to, hazard mitigation analysis, fire suppression design and equipment, fire and explosion testing, emergency planning and training, NFPA Standard 1 (Fire Code), NFPA 70 (Electric Code), and all applicable Indiana and local building, fire, safety, and construction rules, orders, ordinance, and regulations.</w:t>
      </w:r>
    </w:p>
    <w:p w14:paraId="4028C197" w14:textId="2ABFD7FF" w:rsidR="00145020" w:rsidRDefault="00145020" w:rsidP="0094761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Description of public or private water sources and fire hydrants on the site which can be accessed for fire suppression.</w:t>
      </w:r>
    </w:p>
    <w:p w14:paraId="2767928B" w14:textId="59A8A4D4" w:rsidR="00145020" w:rsidRDefault="00145020" w:rsidP="0094761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Description of site access for fire and other first responder.</w:t>
      </w:r>
    </w:p>
    <w:p w14:paraId="5D64E0F1" w14:textId="6EE438ED" w:rsidR="00145020" w:rsidRDefault="00145020" w:rsidP="0094761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Description of the hazardous material signage plan.</w:t>
      </w:r>
    </w:p>
    <w:p w14:paraId="370F2BD9" w14:textId="77777777" w:rsidR="00834527" w:rsidRDefault="00834527" w:rsidP="00834527">
      <w:pPr>
        <w:pStyle w:val="ListParagraph"/>
        <w:rPr>
          <w:rFonts w:ascii="Times New Roman" w:hAnsi="Times New Roman" w:cs="Times New Roman"/>
          <w:sz w:val="24"/>
          <w:szCs w:val="24"/>
        </w:rPr>
      </w:pPr>
    </w:p>
    <w:p w14:paraId="4DBBBF83" w14:textId="77777777" w:rsidR="00ED2583" w:rsidRDefault="00145020" w:rsidP="00145020">
      <w:pPr>
        <w:rPr>
          <w:rFonts w:ascii="Times New Roman" w:hAnsi="Times New Roman" w:cs="Times New Roman"/>
          <w:b/>
          <w:bCs/>
          <w:sz w:val="24"/>
          <w:szCs w:val="24"/>
        </w:rPr>
      </w:pPr>
      <w:r w:rsidRPr="00ED2583">
        <w:rPr>
          <w:rFonts w:ascii="Times New Roman" w:hAnsi="Times New Roman" w:cs="Times New Roman"/>
          <w:b/>
          <w:bCs/>
          <w:sz w:val="24"/>
          <w:szCs w:val="24"/>
        </w:rPr>
        <w:t xml:space="preserve">20.10 </w:t>
      </w:r>
      <w:r w:rsidR="00ED2583" w:rsidRPr="00ED2583">
        <w:rPr>
          <w:rFonts w:ascii="Times New Roman" w:hAnsi="Times New Roman" w:cs="Times New Roman"/>
          <w:b/>
          <w:bCs/>
          <w:sz w:val="24"/>
          <w:szCs w:val="24"/>
        </w:rPr>
        <w:t xml:space="preserve">Decommissioning </w:t>
      </w:r>
    </w:p>
    <w:p w14:paraId="2B507504" w14:textId="11E6D920" w:rsidR="00834527" w:rsidRPr="00F87F5D" w:rsidRDefault="00834527" w:rsidP="00834527">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 xml:space="preserve">Any Commercial </w:t>
      </w:r>
      <w:r>
        <w:rPr>
          <w:rFonts w:ascii="Times New Roman" w:eastAsia="Calibri" w:hAnsi="Times New Roman" w:cs="Times New Roman"/>
          <w:sz w:val="24"/>
          <w:szCs w:val="24"/>
        </w:rPr>
        <w:t>Battery Energy Storage</w:t>
      </w:r>
      <w:r w:rsidRPr="00F87F5D">
        <w:rPr>
          <w:rFonts w:ascii="Times New Roman" w:eastAsia="Calibri" w:hAnsi="Times New Roman" w:cs="Times New Roman"/>
          <w:sz w:val="24"/>
          <w:szCs w:val="24"/>
        </w:rPr>
        <w:t xml:space="preserve"> System </w:t>
      </w:r>
      <w:r>
        <w:rPr>
          <w:rFonts w:ascii="Times New Roman" w:eastAsia="Calibri" w:hAnsi="Times New Roman" w:cs="Times New Roman"/>
          <w:sz w:val="24"/>
          <w:szCs w:val="24"/>
        </w:rPr>
        <w:t xml:space="preserve">(BESS) </w:t>
      </w:r>
      <w:r w:rsidRPr="00F87F5D">
        <w:rPr>
          <w:rFonts w:ascii="Times New Roman" w:eastAsia="Calibri" w:hAnsi="Times New Roman" w:cs="Times New Roman"/>
          <w:sz w:val="24"/>
          <w:szCs w:val="24"/>
        </w:rPr>
        <w:t xml:space="preserve">that is not operated for a continuous period of six (6) months is considered to be abandoned. The owner of an abandoned </w:t>
      </w:r>
      <w:r>
        <w:rPr>
          <w:rFonts w:ascii="Times New Roman" w:eastAsia="Calibri" w:hAnsi="Times New Roman" w:cs="Times New Roman"/>
          <w:sz w:val="24"/>
          <w:szCs w:val="24"/>
        </w:rPr>
        <w:t>BESS</w:t>
      </w:r>
      <w:r w:rsidRPr="00F87F5D">
        <w:rPr>
          <w:rFonts w:ascii="Times New Roman" w:eastAsia="Calibri" w:hAnsi="Times New Roman" w:cs="Times New Roman"/>
          <w:sz w:val="24"/>
          <w:szCs w:val="24"/>
        </w:rPr>
        <w:t xml:space="preserve"> will within twelve (12) months of receipt of notice </w:t>
      </w:r>
      <w:r>
        <w:rPr>
          <w:rFonts w:ascii="Times New Roman" w:eastAsia="Calibri" w:hAnsi="Times New Roman" w:cs="Times New Roman"/>
          <w:sz w:val="24"/>
          <w:szCs w:val="24"/>
        </w:rPr>
        <w:t>f</w:t>
      </w:r>
      <w:r w:rsidRPr="00F87F5D">
        <w:rPr>
          <w:rFonts w:ascii="Times New Roman" w:eastAsia="Calibri" w:hAnsi="Times New Roman" w:cs="Times New Roman"/>
          <w:sz w:val="24"/>
          <w:szCs w:val="24"/>
        </w:rPr>
        <w:t xml:space="preserve">rom the Montgomery County Zoning Administrator remove the system or the part of the system which is abandoned.  After removal, the owner will restore the site to its condition as it existed prior to the installation of the system. If the owner fails to remove the system and restore the site as required by this Article, the owner will be in violation of this Article, and the Zoning Administrator may pursue all remedies for the violation.  The owner will also provide for a decommissioning plan, and this plan must include written assurance that the system will be properly decommissioned upon the expiration of the system’s serviceable life or upon abandonment.  The plan must also include cost estimates of decommissioning and removing the system. Such cost estimates must be made by a professional engineer with experience in decommissioning or removal of such systems.  The cost estimates must be updated by a professional engineer every five (5) years and must be submitted to the Zoning Administrator.  After submittal of the cost estimates to the Zoning Administrator, the Administrator may accept the cost estimate provided or have a professional engineer engaged by the Administrator provide a cost estimate.  In the event that the cost estimates of the owner’s engineer and of the Administrator’s engineer are not the same, the Plan Commission will determine the cost estimate which applies to the owner.  The owner will provide to Montgomery County financial security in the form of an irrevocable letter of credit, payable upon demand by Montgomery County, in a form acceptable to the Plan Commission, for the full cost of the estimated decommissioning, removal and restoration in an amount determined by the Plan Commission and approved by the Montgomery County Board of Commissioners.  If the cost estimates change during the 5-year reviews, the owner must provide revised irrevocable letters of credit which reflect the adjusted cost estimates.  No deductions for salvage value or other credits are allowed from the estimated cost of decommissioning, </w:t>
      </w:r>
      <w:r w:rsidR="000A44A8" w:rsidRPr="00F87F5D">
        <w:rPr>
          <w:rFonts w:ascii="Times New Roman" w:eastAsia="Calibri" w:hAnsi="Times New Roman" w:cs="Times New Roman"/>
          <w:sz w:val="24"/>
          <w:szCs w:val="24"/>
        </w:rPr>
        <w:t>removal,</w:t>
      </w:r>
      <w:r w:rsidRPr="00F87F5D">
        <w:rPr>
          <w:rFonts w:ascii="Times New Roman" w:eastAsia="Calibri" w:hAnsi="Times New Roman" w:cs="Times New Roman"/>
          <w:sz w:val="24"/>
          <w:szCs w:val="24"/>
        </w:rPr>
        <w:t xml:space="preserve"> and restoration.</w:t>
      </w:r>
    </w:p>
    <w:p w14:paraId="7E2C2FFD" w14:textId="5FD14D2F" w:rsidR="00145020" w:rsidRPr="00ED2583" w:rsidRDefault="00ED2583" w:rsidP="00145020">
      <w:pPr>
        <w:rPr>
          <w:rFonts w:ascii="Times New Roman" w:hAnsi="Times New Roman" w:cs="Times New Roman"/>
          <w:b/>
          <w:bCs/>
          <w:sz w:val="24"/>
          <w:szCs w:val="24"/>
        </w:rPr>
      </w:pPr>
      <w:r w:rsidRPr="00ED2583">
        <w:rPr>
          <w:rFonts w:ascii="Times New Roman" w:hAnsi="Times New Roman" w:cs="Times New Roman"/>
          <w:b/>
          <w:bCs/>
          <w:sz w:val="24"/>
          <w:szCs w:val="24"/>
        </w:rPr>
        <w:t xml:space="preserve">20.11 </w:t>
      </w:r>
      <w:r w:rsidR="00145020" w:rsidRPr="00ED2583">
        <w:rPr>
          <w:rFonts w:ascii="Times New Roman" w:hAnsi="Times New Roman" w:cs="Times New Roman"/>
          <w:b/>
          <w:bCs/>
          <w:sz w:val="24"/>
          <w:szCs w:val="24"/>
        </w:rPr>
        <w:t>Development Plan Review</w:t>
      </w:r>
    </w:p>
    <w:p w14:paraId="01CD7648" w14:textId="12DBA097" w:rsidR="00145020" w:rsidRDefault="00145020" w:rsidP="00145020">
      <w:pPr>
        <w:rPr>
          <w:rFonts w:ascii="Times New Roman" w:hAnsi="Times New Roman" w:cs="Times New Roman"/>
          <w:sz w:val="24"/>
          <w:szCs w:val="24"/>
        </w:rPr>
      </w:pPr>
      <w:r>
        <w:rPr>
          <w:rFonts w:ascii="Times New Roman" w:hAnsi="Times New Roman" w:cs="Times New Roman"/>
          <w:sz w:val="24"/>
          <w:szCs w:val="24"/>
        </w:rPr>
        <w:t xml:space="preserve">A development plan review is required.  An applicant for a development plan review must submit a site plan prepared by a licensed engineer, an access and traffic circulation plan, lighting plan, signage plan, landscape plan, fire prevention plan, drainage plan, </w:t>
      </w:r>
      <w:r w:rsidR="00ED2583">
        <w:rPr>
          <w:rFonts w:ascii="Times New Roman" w:hAnsi="Times New Roman" w:cs="Times New Roman"/>
          <w:sz w:val="24"/>
          <w:szCs w:val="24"/>
        </w:rPr>
        <w:t xml:space="preserve">decommissioning plan, </w:t>
      </w:r>
      <w:r>
        <w:rPr>
          <w:rFonts w:ascii="Times New Roman" w:hAnsi="Times New Roman" w:cs="Times New Roman"/>
          <w:sz w:val="24"/>
          <w:szCs w:val="24"/>
        </w:rPr>
        <w:t>and other plans required by the Zoning Administrator.</w:t>
      </w:r>
      <w:r w:rsidR="0075057C">
        <w:rPr>
          <w:rFonts w:ascii="Times New Roman" w:hAnsi="Times New Roman" w:cs="Times New Roman"/>
          <w:sz w:val="24"/>
          <w:szCs w:val="24"/>
        </w:rPr>
        <w:t xml:space="preserve"> Within 60 days of receiving a complete application, the Plan Commission will conduct a public hearing and either approve or disapprove the application.</w:t>
      </w:r>
    </w:p>
    <w:p w14:paraId="73856EA8" w14:textId="77777777" w:rsidR="00145020" w:rsidRDefault="00145020" w:rsidP="00145020">
      <w:pPr>
        <w:rPr>
          <w:rFonts w:ascii="Times New Roman" w:hAnsi="Times New Roman" w:cs="Times New Roman"/>
          <w:sz w:val="24"/>
          <w:szCs w:val="24"/>
        </w:rPr>
      </w:pPr>
    </w:p>
    <w:p w14:paraId="6B22A08A" w14:textId="1BB7B16E" w:rsidR="00145020" w:rsidRDefault="00145020" w:rsidP="00145020">
      <w:pPr>
        <w:rPr>
          <w:rFonts w:ascii="Times New Roman" w:hAnsi="Times New Roman" w:cs="Times New Roman"/>
          <w:b/>
          <w:bCs/>
          <w:sz w:val="24"/>
          <w:szCs w:val="24"/>
        </w:rPr>
      </w:pPr>
      <w:r w:rsidRPr="00ED2583">
        <w:rPr>
          <w:rFonts w:ascii="Times New Roman" w:hAnsi="Times New Roman" w:cs="Times New Roman"/>
          <w:b/>
          <w:bCs/>
          <w:sz w:val="24"/>
          <w:szCs w:val="24"/>
        </w:rPr>
        <w:t>20.1</w:t>
      </w:r>
      <w:r w:rsidR="00ED2583" w:rsidRPr="00ED2583">
        <w:rPr>
          <w:rFonts w:ascii="Times New Roman" w:hAnsi="Times New Roman" w:cs="Times New Roman"/>
          <w:b/>
          <w:bCs/>
          <w:sz w:val="24"/>
          <w:szCs w:val="24"/>
        </w:rPr>
        <w:t>2</w:t>
      </w:r>
      <w:r w:rsidRPr="00ED2583">
        <w:rPr>
          <w:rFonts w:ascii="Times New Roman" w:hAnsi="Times New Roman" w:cs="Times New Roman"/>
          <w:b/>
          <w:bCs/>
          <w:sz w:val="24"/>
          <w:szCs w:val="24"/>
        </w:rPr>
        <w:t xml:space="preserve"> Permit</w:t>
      </w:r>
    </w:p>
    <w:p w14:paraId="161F0D5E" w14:textId="71704802" w:rsidR="00ED2583" w:rsidRDefault="0075057C" w:rsidP="00ED2583">
      <w:pPr>
        <w:tabs>
          <w:tab w:val="left" w:pos="1080"/>
        </w:tabs>
        <w:spacing w:after="0"/>
        <w:rPr>
          <w:rFonts w:ascii="Times New Roman" w:eastAsia="Calibri" w:hAnsi="Times New Roman" w:cs="Times New Roman"/>
          <w:sz w:val="24"/>
          <w:szCs w:val="24"/>
        </w:rPr>
      </w:pPr>
      <w:r>
        <w:rPr>
          <w:rFonts w:ascii="Times New Roman" w:hAnsi="Times New Roman" w:cs="Times New Roman"/>
          <w:sz w:val="24"/>
          <w:szCs w:val="24"/>
        </w:rPr>
        <w:t xml:space="preserve">If the Plan Commission approves the development plan, the applicant may apply for an improvement location permit.  </w:t>
      </w:r>
      <w:r w:rsidR="00ED2583">
        <w:rPr>
          <w:rFonts w:ascii="Times New Roman" w:hAnsi="Times New Roman" w:cs="Times New Roman"/>
          <w:sz w:val="24"/>
          <w:szCs w:val="24"/>
        </w:rPr>
        <w:t xml:space="preserve">No work, excavation or construction may occur prior to the applicant receiving an improvement location permit. </w:t>
      </w:r>
      <w:r w:rsidR="00ED2583" w:rsidRPr="00F87F5D">
        <w:rPr>
          <w:rFonts w:ascii="Times New Roman" w:eastAsia="Calibri" w:hAnsi="Times New Roman" w:cs="Times New Roman"/>
          <w:sz w:val="24"/>
          <w:szCs w:val="24"/>
        </w:rPr>
        <w:t>Within 15 days of receipt of an application for a permit, the Zoning Administrator will determine whether the application is complete.  The Zoning Administrator will notify the applicant in writing of his determination.  If the application is complete, the application will be reviewed by the Zoning Administrator</w:t>
      </w:r>
      <w:r>
        <w:rPr>
          <w:rFonts w:ascii="Times New Roman" w:eastAsia="Calibri" w:hAnsi="Times New Roman" w:cs="Times New Roman"/>
          <w:sz w:val="24"/>
          <w:szCs w:val="24"/>
        </w:rPr>
        <w:t xml:space="preserve">. The Administrator with either grant the permit or deny the permit within thirty (30) days of receiving a complete application. If the application is denied, the Administrator will provide written notice of the reasons for denial. </w:t>
      </w:r>
      <w:r w:rsidR="00ED2583" w:rsidRPr="00F87F5D">
        <w:rPr>
          <w:rFonts w:ascii="Times New Roman" w:eastAsia="Calibri" w:hAnsi="Times New Roman" w:cs="Times New Roman"/>
          <w:sz w:val="24"/>
          <w:szCs w:val="24"/>
        </w:rPr>
        <w:t xml:space="preserve"> If the application is not complete, the applicant must provide to the Zoning Administrative the supplemental information within sixty (60) days.  If the applicant fails to provide the supplemental material for the application in a timely manner, the application will be dismissed.</w:t>
      </w:r>
    </w:p>
    <w:p w14:paraId="14FCD30A" w14:textId="77777777" w:rsidR="0075057C" w:rsidRDefault="0075057C" w:rsidP="00ED2583">
      <w:pPr>
        <w:tabs>
          <w:tab w:val="left" w:pos="1080"/>
        </w:tabs>
        <w:spacing w:after="0"/>
        <w:rPr>
          <w:rFonts w:ascii="Times New Roman" w:eastAsia="Calibri" w:hAnsi="Times New Roman" w:cs="Times New Roman"/>
          <w:sz w:val="24"/>
          <w:szCs w:val="24"/>
        </w:rPr>
      </w:pPr>
    </w:p>
    <w:p w14:paraId="19ACBA81" w14:textId="791582F4" w:rsidR="0075057C" w:rsidRPr="0075057C" w:rsidRDefault="0075057C" w:rsidP="00ED2583">
      <w:pPr>
        <w:tabs>
          <w:tab w:val="left" w:pos="1080"/>
        </w:tabs>
        <w:spacing w:after="0"/>
        <w:rPr>
          <w:rFonts w:ascii="Times New Roman" w:eastAsia="Calibri" w:hAnsi="Times New Roman" w:cs="Times New Roman"/>
          <w:b/>
          <w:bCs/>
          <w:sz w:val="24"/>
          <w:szCs w:val="24"/>
        </w:rPr>
      </w:pPr>
      <w:r w:rsidRPr="0075057C">
        <w:rPr>
          <w:rFonts w:ascii="Times New Roman" w:eastAsia="Calibri" w:hAnsi="Times New Roman" w:cs="Times New Roman"/>
          <w:b/>
          <w:bCs/>
          <w:sz w:val="24"/>
          <w:szCs w:val="24"/>
        </w:rPr>
        <w:t>20.13 Permit Fee</w:t>
      </w:r>
    </w:p>
    <w:p w14:paraId="4782BCC4" w14:textId="77777777" w:rsidR="0075057C" w:rsidRDefault="0075057C" w:rsidP="00ED2583">
      <w:pPr>
        <w:tabs>
          <w:tab w:val="left" w:pos="1080"/>
        </w:tabs>
        <w:spacing w:after="0"/>
        <w:rPr>
          <w:rFonts w:ascii="Times New Roman" w:eastAsia="Calibri" w:hAnsi="Times New Roman" w:cs="Times New Roman"/>
          <w:sz w:val="24"/>
          <w:szCs w:val="24"/>
        </w:rPr>
      </w:pPr>
    </w:p>
    <w:p w14:paraId="74742549" w14:textId="1AD536E6" w:rsidR="0075057C" w:rsidRPr="00F87F5D" w:rsidRDefault="0075057C" w:rsidP="0075057C">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At the time of submission, the applicant will submit to the Zoning Administrator a nonrefundable fee in the amount of $500.00, plus the following additional fee for systems</w:t>
      </w:r>
      <w:r>
        <w:rPr>
          <w:rFonts w:ascii="Times New Roman" w:eastAsia="Calibri" w:hAnsi="Times New Roman" w:cs="Times New Roman"/>
          <w:sz w:val="24"/>
          <w:szCs w:val="24"/>
        </w:rPr>
        <w:t xml:space="preserve"> </w:t>
      </w:r>
      <w:r w:rsidRPr="00F87F5D">
        <w:rPr>
          <w:rFonts w:ascii="Times New Roman" w:eastAsia="Calibri" w:hAnsi="Times New Roman" w:cs="Times New Roman"/>
          <w:sz w:val="24"/>
          <w:szCs w:val="24"/>
        </w:rPr>
        <w:t xml:space="preserve">that are more than </w:t>
      </w:r>
      <w:r>
        <w:rPr>
          <w:rFonts w:ascii="Times New Roman" w:eastAsia="Calibri" w:hAnsi="Times New Roman" w:cs="Times New Roman"/>
          <w:sz w:val="24"/>
          <w:szCs w:val="24"/>
        </w:rPr>
        <w:t>____</w:t>
      </w:r>
      <w:r w:rsidRPr="00F87F5D">
        <w:rPr>
          <w:rFonts w:ascii="Times New Roman" w:eastAsia="Calibri" w:hAnsi="Times New Roman" w:cs="Times New Roman"/>
          <w:sz w:val="24"/>
          <w:szCs w:val="24"/>
        </w:rPr>
        <w:t xml:space="preserve"> hundred (</w:t>
      </w:r>
      <w:r>
        <w:rPr>
          <w:rFonts w:ascii="Times New Roman" w:eastAsia="Calibri" w:hAnsi="Times New Roman" w:cs="Times New Roman"/>
          <w:sz w:val="24"/>
          <w:szCs w:val="24"/>
        </w:rPr>
        <w:t>_____</w:t>
      </w:r>
      <w:r w:rsidRPr="00F87F5D">
        <w:rPr>
          <w:rFonts w:ascii="Times New Roman" w:eastAsia="Calibri" w:hAnsi="Times New Roman" w:cs="Times New Roman"/>
          <w:sz w:val="24"/>
          <w:szCs w:val="24"/>
        </w:rPr>
        <w:t>) acres:</w:t>
      </w:r>
    </w:p>
    <w:p w14:paraId="26C7463A" w14:textId="77777777" w:rsidR="0075057C" w:rsidRPr="00F87F5D" w:rsidRDefault="0075057C" w:rsidP="0075057C">
      <w:pPr>
        <w:tabs>
          <w:tab w:val="left" w:pos="1080"/>
        </w:tabs>
        <w:spacing w:after="0"/>
        <w:rPr>
          <w:rFonts w:ascii="Times New Roman" w:eastAsia="Calibri" w:hAnsi="Times New Roman" w:cs="Times New Roman"/>
          <w:sz w:val="24"/>
          <w:szCs w:val="24"/>
        </w:rPr>
      </w:pPr>
    </w:p>
    <w:tbl>
      <w:tblPr>
        <w:tblStyle w:val="TableGrid2"/>
        <w:tblW w:w="0" w:type="auto"/>
        <w:tblInd w:w="1975" w:type="dxa"/>
        <w:tblLook w:val="04A0" w:firstRow="1" w:lastRow="0" w:firstColumn="1" w:lastColumn="0" w:noHBand="0" w:noVBand="1"/>
      </w:tblPr>
      <w:tblGrid>
        <w:gridCol w:w="2340"/>
        <w:gridCol w:w="1918"/>
      </w:tblGrid>
      <w:tr w:rsidR="0075057C" w:rsidRPr="00F87F5D" w14:paraId="597EB1CC" w14:textId="77777777" w:rsidTr="00391BF9">
        <w:tc>
          <w:tcPr>
            <w:tcW w:w="2340" w:type="dxa"/>
          </w:tcPr>
          <w:p w14:paraId="45DDD757" w14:textId="77777777" w:rsidR="0075057C" w:rsidRPr="00F87F5D" w:rsidRDefault="0075057C" w:rsidP="00391BF9">
            <w:pPr>
              <w:tabs>
                <w:tab w:val="left" w:pos="1080"/>
              </w:tabs>
              <w:rPr>
                <w:rFonts w:ascii="Times New Roman" w:eastAsia="Calibri" w:hAnsi="Times New Roman" w:cs="Times New Roman"/>
                <w:sz w:val="24"/>
                <w:szCs w:val="24"/>
              </w:rPr>
            </w:pPr>
            <w:r w:rsidRPr="00F87F5D">
              <w:rPr>
                <w:rFonts w:ascii="Times New Roman" w:eastAsia="Calibri" w:hAnsi="Times New Roman" w:cs="Times New Roman"/>
                <w:sz w:val="24"/>
                <w:szCs w:val="24"/>
              </w:rPr>
              <w:t>Acres</w:t>
            </w:r>
          </w:p>
        </w:tc>
        <w:tc>
          <w:tcPr>
            <w:tcW w:w="1918" w:type="dxa"/>
          </w:tcPr>
          <w:p w14:paraId="6A9B0E41" w14:textId="77777777" w:rsidR="0075057C" w:rsidRPr="00F87F5D" w:rsidRDefault="0075057C" w:rsidP="00391BF9">
            <w:pPr>
              <w:tabs>
                <w:tab w:val="left" w:pos="1080"/>
              </w:tabs>
              <w:rPr>
                <w:rFonts w:ascii="Times New Roman" w:eastAsia="Calibri" w:hAnsi="Times New Roman" w:cs="Times New Roman"/>
                <w:sz w:val="24"/>
                <w:szCs w:val="24"/>
              </w:rPr>
            </w:pPr>
            <w:r w:rsidRPr="00F87F5D">
              <w:rPr>
                <w:rFonts w:ascii="Times New Roman" w:eastAsia="Calibri" w:hAnsi="Times New Roman" w:cs="Times New Roman"/>
                <w:sz w:val="24"/>
                <w:szCs w:val="24"/>
              </w:rPr>
              <w:t>Additional Fee</w:t>
            </w:r>
          </w:p>
        </w:tc>
      </w:tr>
      <w:tr w:rsidR="0075057C" w:rsidRPr="00F87F5D" w14:paraId="330F6AB4" w14:textId="77777777" w:rsidTr="00391BF9">
        <w:tc>
          <w:tcPr>
            <w:tcW w:w="2340" w:type="dxa"/>
          </w:tcPr>
          <w:p w14:paraId="6C77C54F" w14:textId="14E10F3A" w:rsidR="0075057C" w:rsidRPr="00F87F5D" w:rsidRDefault="0075057C" w:rsidP="00391BF9">
            <w:pPr>
              <w:tabs>
                <w:tab w:val="left" w:pos="1080"/>
              </w:tabs>
              <w:rPr>
                <w:rFonts w:ascii="Times New Roman" w:eastAsia="Calibri" w:hAnsi="Times New Roman" w:cs="Times New Roman"/>
                <w:sz w:val="24"/>
                <w:szCs w:val="24"/>
              </w:rPr>
            </w:pPr>
          </w:p>
        </w:tc>
        <w:tc>
          <w:tcPr>
            <w:tcW w:w="1918" w:type="dxa"/>
          </w:tcPr>
          <w:p w14:paraId="49D95E9C" w14:textId="1911EBA1" w:rsidR="0075057C" w:rsidRPr="00F87F5D" w:rsidRDefault="0075057C" w:rsidP="00391BF9">
            <w:pPr>
              <w:tabs>
                <w:tab w:val="left" w:pos="1080"/>
              </w:tabs>
              <w:rPr>
                <w:rFonts w:ascii="Times New Roman" w:eastAsia="Calibri" w:hAnsi="Times New Roman" w:cs="Times New Roman"/>
                <w:sz w:val="24"/>
                <w:szCs w:val="24"/>
              </w:rPr>
            </w:pPr>
          </w:p>
        </w:tc>
      </w:tr>
      <w:tr w:rsidR="0075057C" w:rsidRPr="00F87F5D" w14:paraId="496411CF" w14:textId="77777777" w:rsidTr="00391BF9">
        <w:tc>
          <w:tcPr>
            <w:tcW w:w="2340" w:type="dxa"/>
          </w:tcPr>
          <w:p w14:paraId="717D41AC" w14:textId="36149C0D" w:rsidR="0075057C" w:rsidRPr="00F87F5D" w:rsidRDefault="0075057C" w:rsidP="00391BF9">
            <w:pPr>
              <w:tabs>
                <w:tab w:val="left" w:pos="1080"/>
              </w:tabs>
              <w:rPr>
                <w:rFonts w:ascii="Times New Roman" w:eastAsia="Calibri" w:hAnsi="Times New Roman" w:cs="Times New Roman"/>
                <w:sz w:val="24"/>
                <w:szCs w:val="24"/>
              </w:rPr>
            </w:pPr>
          </w:p>
        </w:tc>
        <w:tc>
          <w:tcPr>
            <w:tcW w:w="1918" w:type="dxa"/>
          </w:tcPr>
          <w:p w14:paraId="6D4D4BDB" w14:textId="5F8944DF" w:rsidR="0075057C" w:rsidRPr="00F87F5D" w:rsidRDefault="0075057C" w:rsidP="00391BF9">
            <w:pPr>
              <w:tabs>
                <w:tab w:val="left" w:pos="1080"/>
              </w:tabs>
              <w:rPr>
                <w:rFonts w:ascii="Times New Roman" w:eastAsia="Calibri" w:hAnsi="Times New Roman" w:cs="Times New Roman"/>
                <w:sz w:val="24"/>
                <w:szCs w:val="24"/>
              </w:rPr>
            </w:pPr>
          </w:p>
        </w:tc>
      </w:tr>
      <w:tr w:rsidR="0075057C" w:rsidRPr="00F87F5D" w14:paraId="0365B424" w14:textId="77777777" w:rsidTr="00391BF9">
        <w:tc>
          <w:tcPr>
            <w:tcW w:w="2340" w:type="dxa"/>
          </w:tcPr>
          <w:p w14:paraId="1F0C18C7" w14:textId="4FB36B60" w:rsidR="0075057C" w:rsidRPr="00F87F5D" w:rsidRDefault="0075057C" w:rsidP="00391BF9">
            <w:pPr>
              <w:tabs>
                <w:tab w:val="left" w:pos="1080"/>
              </w:tabs>
              <w:rPr>
                <w:rFonts w:ascii="Times New Roman" w:eastAsia="Calibri" w:hAnsi="Times New Roman" w:cs="Times New Roman"/>
                <w:sz w:val="24"/>
                <w:szCs w:val="24"/>
              </w:rPr>
            </w:pPr>
          </w:p>
        </w:tc>
        <w:tc>
          <w:tcPr>
            <w:tcW w:w="1918" w:type="dxa"/>
          </w:tcPr>
          <w:p w14:paraId="2E1F5752" w14:textId="312B14BF" w:rsidR="0075057C" w:rsidRPr="00F87F5D" w:rsidRDefault="0075057C" w:rsidP="00391BF9">
            <w:pPr>
              <w:tabs>
                <w:tab w:val="left" w:pos="1080"/>
              </w:tabs>
              <w:rPr>
                <w:rFonts w:ascii="Times New Roman" w:eastAsia="Calibri" w:hAnsi="Times New Roman" w:cs="Times New Roman"/>
                <w:sz w:val="24"/>
                <w:szCs w:val="24"/>
              </w:rPr>
            </w:pPr>
          </w:p>
        </w:tc>
      </w:tr>
      <w:tr w:rsidR="0075057C" w:rsidRPr="00F87F5D" w14:paraId="410EE06F" w14:textId="77777777" w:rsidTr="00391BF9">
        <w:tc>
          <w:tcPr>
            <w:tcW w:w="2340" w:type="dxa"/>
          </w:tcPr>
          <w:p w14:paraId="6FBC8A43" w14:textId="5CC7B92E" w:rsidR="0075057C" w:rsidRPr="00F87F5D" w:rsidRDefault="0075057C" w:rsidP="00391BF9">
            <w:pPr>
              <w:tabs>
                <w:tab w:val="left" w:pos="1080"/>
              </w:tabs>
              <w:rPr>
                <w:rFonts w:ascii="Times New Roman" w:eastAsia="Calibri" w:hAnsi="Times New Roman" w:cs="Times New Roman"/>
                <w:sz w:val="24"/>
                <w:szCs w:val="24"/>
              </w:rPr>
            </w:pPr>
          </w:p>
        </w:tc>
        <w:tc>
          <w:tcPr>
            <w:tcW w:w="1918" w:type="dxa"/>
          </w:tcPr>
          <w:p w14:paraId="2F112D98" w14:textId="7517F2B9" w:rsidR="0075057C" w:rsidRPr="00F87F5D" w:rsidRDefault="0075057C" w:rsidP="00391BF9">
            <w:pPr>
              <w:tabs>
                <w:tab w:val="left" w:pos="1080"/>
              </w:tabs>
              <w:rPr>
                <w:rFonts w:ascii="Times New Roman" w:eastAsia="Calibri" w:hAnsi="Times New Roman" w:cs="Times New Roman"/>
                <w:sz w:val="24"/>
                <w:szCs w:val="24"/>
              </w:rPr>
            </w:pPr>
          </w:p>
        </w:tc>
      </w:tr>
      <w:tr w:rsidR="0075057C" w:rsidRPr="00F87F5D" w14:paraId="353DB09F" w14:textId="77777777" w:rsidTr="00391BF9">
        <w:tc>
          <w:tcPr>
            <w:tcW w:w="2340" w:type="dxa"/>
          </w:tcPr>
          <w:p w14:paraId="72C4CF59" w14:textId="32C79B51" w:rsidR="0075057C" w:rsidRPr="00F87F5D" w:rsidRDefault="0075057C" w:rsidP="00391BF9">
            <w:pPr>
              <w:tabs>
                <w:tab w:val="left" w:pos="1080"/>
              </w:tabs>
              <w:rPr>
                <w:rFonts w:ascii="Times New Roman" w:eastAsia="Calibri" w:hAnsi="Times New Roman" w:cs="Times New Roman"/>
                <w:sz w:val="24"/>
                <w:szCs w:val="24"/>
              </w:rPr>
            </w:pPr>
          </w:p>
        </w:tc>
        <w:tc>
          <w:tcPr>
            <w:tcW w:w="1918" w:type="dxa"/>
          </w:tcPr>
          <w:p w14:paraId="03537F0C" w14:textId="2E9E52DC" w:rsidR="0075057C" w:rsidRPr="00F87F5D" w:rsidRDefault="0075057C" w:rsidP="00391BF9">
            <w:pPr>
              <w:tabs>
                <w:tab w:val="left" w:pos="1080"/>
              </w:tabs>
              <w:rPr>
                <w:rFonts w:ascii="Times New Roman" w:eastAsia="Calibri" w:hAnsi="Times New Roman" w:cs="Times New Roman"/>
                <w:sz w:val="24"/>
                <w:szCs w:val="24"/>
              </w:rPr>
            </w:pPr>
          </w:p>
        </w:tc>
      </w:tr>
      <w:tr w:rsidR="0075057C" w:rsidRPr="00F87F5D" w14:paraId="2846B763" w14:textId="77777777" w:rsidTr="00391BF9">
        <w:tc>
          <w:tcPr>
            <w:tcW w:w="2340" w:type="dxa"/>
          </w:tcPr>
          <w:p w14:paraId="1AADA59F" w14:textId="0ADD92FF" w:rsidR="0075057C" w:rsidRPr="00F87F5D" w:rsidRDefault="0075057C" w:rsidP="00391BF9">
            <w:pPr>
              <w:tabs>
                <w:tab w:val="left" w:pos="1080"/>
              </w:tabs>
              <w:rPr>
                <w:rFonts w:ascii="Times New Roman" w:eastAsia="Calibri" w:hAnsi="Times New Roman" w:cs="Times New Roman"/>
                <w:sz w:val="24"/>
                <w:szCs w:val="24"/>
              </w:rPr>
            </w:pPr>
          </w:p>
        </w:tc>
        <w:tc>
          <w:tcPr>
            <w:tcW w:w="1918" w:type="dxa"/>
          </w:tcPr>
          <w:p w14:paraId="12B797C9" w14:textId="715D08A4" w:rsidR="0075057C" w:rsidRPr="00F87F5D" w:rsidRDefault="0075057C" w:rsidP="00391BF9">
            <w:pPr>
              <w:tabs>
                <w:tab w:val="left" w:pos="1080"/>
              </w:tabs>
              <w:rPr>
                <w:rFonts w:ascii="Times New Roman" w:eastAsia="Calibri" w:hAnsi="Times New Roman" w:cs="Times New Roman"/>
                <w:sz w:val="24"/>
                <w:szCs w:val="24"/>
              </w:rPr>
            </w:pPr>
          </w:p>
        </w:tc>
      </w:tr>
      <w:tr w:rsidR="0075057C" w:rsidRPr="00F87F5D" w14:paraId="7E2031D8" w14:textId="77777777" w:rsidTr="00391BF9">
        <w:tc>
          <w:tcPr>
            <w:tcW w:w="2340" w:type="dxa"/>
          </w:tcPr>
          <w:p w14:paraId="3BF621BD" w14:textId="19216AC6" w:rsidR="0075057C" w:rsidRPr="00F87F5D" w:rsidRDefault="0075057C" w:rsidP="00391BF9">
            <w:pPr>
              <w:tabs>
                <w:tab w:val="left" w:pos="1080"/>
              </w:tabs>
              <w:rPr>
                <w:rFonts w:ascii="Times New Roman" w:eastAsia="Calibri" w:hAnsi="Times New Roman" w:cs="Times New Roman"/>
                <w:sz w:val="24"/>
                <w:szCs w:val="24"/>
              </w:rPr>
            </w:pPr>
          </w:p>
        </w:tc>
        <w:tc>
          <w:tcPr>
            <w:tcW w:w="1918" w:type="dxa"/>
          </w:tcPr>
          <w:p w14:paraId="6C792227" w14:textId="3209F6B0" w:rsidR="0075057C" w:rsidRPr="00F87F5D" w:rsidRDefault="0075057C" w:rsidP="00391BF9">
            <w:pPr>
              <w:tabs>
                <w:tab w:val="left" w:pos="1080"/>
              </w:tabs>
              <w:rPr>
                <w:rFonts w:ascii="Times New Roman" w:eastAsia="Calibri" w:hAnsi="Times New Roman" w:cs="Times New Roman"/>
                <w:sz w:val="24"/>
                <w:szCs w:val="24"/>
              </w:rPr>
            </w:pPr>
          </w:p>
        </w:tc>
      </w:tr>
      <w:tr w:rsidR="0075057C" w:rsidRPr="00F87F5D" w14:paraId="55621DE8" w14:textId="77777777" w:rsidTr="00391BF9">
        <w:tc>
          <w:tcPr>
            <w:tcW w:w="2340" w:type="dxa"/>
          </w:tcPr>
          <w:p w14:paraId="34251917" w14:textId="43497FBA" w:rsidR="0075057C" w:rsidRPr="00F87F5D" w:rsidRDefault="0075057C" w:rsidP="00391BF9">
            <w:pPr>
              <w:tabs>
                <w:tab w:val="left" w:pos="1080"/>
              </w:tabs>
              <w:rPr>
                <w:rFonts w:ascii="Times New Roman" w:eastAsia="Calibri" w:hAnsi="Times New Roman" w:cs="Times New Roman"/>
                <w:sz w:val="24"/>
                <w:szCs w:val="24"/>
              </w:rPr>
            </w:pPr>
          </w:p>
        </w:tc>
        <w:tc>
          <w:tcPr>
            <w:tcW w:w="1918" w:type="dxa"/>
          </w:tcPr>
          <w:p w14:paraId="0E40574F" w14:textId="75B5C87A" w:rsidR="0075057C" w:rsidRPr="00F87F5D" w:rsidRDefault="0075057C" w:rsidP="00391BF9">
            <w:pPr>
              <w:tabs>
                <w:tab w:val="left" w:pos="1080"/>
              </w:tabs>
              <w:rPr>
                <w:rFonts w:ascii="Times New Roman" w:eastAsia="Calibri" w:hAnsi="Times New Roman" w:cs="Times New Roman"/>
                <w:sz w:val="24"/>
                <w:szCs w:val="24"/>
              </w:rPr>
            </w:pPr>
          </w:p>
        </w:tc>
      </w:tr>
      <w:tr w:rsidR="0075057C" w:rsidRPr="00F87F5D" w14:paraId="2E4FB9D0" w14:textId="77777777" w:rsidTr="00391BF9">
        <w:tc>
          <w:tcPr>
            <w:tcW w:w="2340" w:type="dxa"/>
          </w:tcPr>
          <w:p w14:paraId="30222D91" w14:textId="59D8DC37" w:rsidR="0075057C" w:rsidRPr="00F87F5D" w:rsidRDefault="0075057C" w:rsidP="00391BF9">
            <w:pPr>
              <w:tabs>
                <w:tab w:val="left" w:pos="1080"/>
              </w:tabs>
              <w:rPr>
                <w:rFonts w:ascii="Times New Roman" w:eastAsia="Calibri" w:hAnsi="Times New Roman" w:cs="Times New Roman"/>
                <w:sz w:val="24"/>
                <w:szCs w:val="24"/>
              </w:rPr>
            </w:pPr>
          </w:p>
        </w:tc>
        <w:tc>
          <w:tcPr>
            <w:tcW w:w="1918" w:type="dxa"/>
          </w:tcPr>
          <w:p w14:paraId="2A3AD6D0" w14:textId="6F851965" w:rsidR="0075057C" w:rsidRPr="00F87F5D" w:rsidRDefault="0075057C" w:rsidP="00391BF9">
            <w:pPr>
              <w:tabs>
                <w:tab w:val="left" w:pos="1080"/>
              </w:tabs>
              <w:rPr>
                <w:rFonts w:ascii="Times New Roman" w:eastAsia="Calibri" w:hAnsi="Times New Roman" w:cs="Times New Roman"/>
                <w:sz w:val="24"/>
                <w:szCs w:val="24"/>
              </w:rPr>
            </w:pPr>
          </w:p>
        </w:tc>
      </w:tr>
      <w:tr w:rsidR="0075057C" w:rsidRPr="00F87F5D" w14:paraId="4A216AA8" w14:textId="77777777" w:rsidTr="00391BF9">
        <w:tc>
          <w:tcPr>
            <w:tcW w:w="2340" w:type="dxa"/>
          </w:tcPr>
          <w:p w14:paraId="439828A5" w14:textId="602C3BB7" w:rsidR="0075057C" w:rsidRPr="00F87F5D" w:rsidRDefault="0075057C" w:rsidP="00391BF9">
            <w:pPr>
              <w:tabs>
                <w:tab w:val="left" w:pos="1080"/>
              </w:tabs>
              <w:rPr>
                <w:rFonts w:ascii="Times New Roman" w:eastAsia="Calibri" w:hAnsi="Times New Roman" w:cs="Times New Roman"/>
                <w:sz w:val="24"/>
                <w:szCs w:val="24"/>
              </w:rPr>
            </w:pPr>
          </w:p>
        </w:tc>
        <w:tc>
          <w:tcPr>
            <w:tcW w:w="1918" w:type="dxa"/>
          </w:tcPr>
          <w:p w14:paraId="3F5C11BE" w14:textId="1BFBB76C" w:rsidR="0075057C" w:rsidRPr="00F87F5D" w:rsidRDefault="0075057C" w:rsidP="00391BF9">
            <w:pPr>
              <w:tabs>
                <w:tab w:val="left" w:pos="1080"/>
              </w:tabs>
              <w:rPr>
                <w:rFonts w:ascii="Times New Roman" w:eastAsia="Calibri" w:hAnsi="Times New Roman" w:cs="Times New Roman"/>
                <w:sz w:val="24"/>
                <w:szCs w:val="24"/>
              </w:rPr>
            </w:pPr>
          </w:p>
        </w:tc>
      </w:tr>
    </w:tbl>
    <w:p w14:paraId="2C9A652D" w14:textId="77777777" w:rsidR="0075057C" w:rsidRDefault="0075057C" w:rsidP="00ED2583">
      <w:pPr>
        <w:tabs>
          <w:tab w:val="left" w:pos="1080"/>
        </w:tabs>
        <w:spacing w:after="0"/>
        <w:rPr>
          <w:rFonts w:ascii="Times New Roman" w:eastAsia="Calibri" w:hAnsi="Times New Roman" w:cs="Times New Roman"/>
          <w:sz w:val="24"/>
          <w:szCs w:val="24"/>
        </w:rPr>
      </w:pPr>
    </w:p>
    <w:p w14:paraId="502AB558" w14:textId="77777777" w:rsidR="0075057C" w:rsidRDefault="0075057C" w:rsidP="00ED2583">
      <w:pPr>
        <w:tabs>
          <w:tab w:val="left" w:pos="1080"/>
        </w:tabs>
        <w:spacing w:after="0"/>
        <w:rPr>
          <w:rFonts w:ascii="Times New Roman" w:eastAsia="Calibri" w:hAnsi="Times New Roman" w:cs="Times New Roman"/>
          <w:sz w:val="24"/>
          <w:szCs w:val="24"/>
        </w:rPr>
      </w:pPr>
    </w:p>
    <w:p w14:paraId="56FD6367" w14:textId="77777777" w:rsidR="0075057C" w:rsidRPr="00F87F5D" w:rsidRDefault="0075057C" w:rsidP="00ED2583">
      <w:pPr>
        <w:tabs>
          <w:tab w:val="left" w:pos="1080"/>
        </w:tabs>
        <w:spacing w:after="0"/>
        <w:rPr>
          <w:rFonts w:ascii="Times New Roman" w:eastAsia="Calibri" w:hAnsi="Times New Roman" w:cs="Times New Roman"/>
          <w:sz w:val="24"/>
          <w:szCs w:val="24"/>
        </w:rPr>
      </w:pPr>
    </w:p>
    <w:p w14:paraId="3AA6DA34" w14:textId="405095F5" w:rsidR="00ED2583" w:rsidRDefault="00ED2583" w:rsidP="00145020">
      <w:pPr>
        <w:rPr>
          <w:rFonts w:ascii="Times New Roman" w:hAnsi="Times New Roman" w:cs="Times New Roman"/>
          <w:sz w:val="24"/>
          <w:szCs w:val="24"/>
        </w:rPr>
      </w:pPr>
    </w:p>
    <w:p w14:paraId="05896ABE" w14:textId="77777777" w:rsidR="00ED2583" w:rsidRDefault="00ED2583" w:rsidP="00145020">
      <w:pPr>
        <w:rPr>
          <w:rFonts w:ascii="Times New Roman" w:hAnsi="Times New Roman" w:cs="Times New Roman"/>
          <w:sz w:val="24"/>
          <w:szCs w:val="24"/>
        </w:rPr>
      </w:pPr>
    </w:p>
    <w:p w14:paraId="755EF1B7" w14:textId="7F7F0256" w:rsidR="00ED2583" w:rsidRDefault="00ED2583" w:rsidP="00145020">
      <w:pPr>
        <w:rPr>
          <w:rFonts w:ascii="Times New Roman" w:hAnsi="Times New Roman" w:cs="Times New Roman"/>
          <w:b/>
          <w:bCs/>
          <w:sz w:val="24"/>
          <w:szCs w:val="24"/>
        </w:rPr>
      </w:pPr>
      <w:r w:rsidRPr="00ED2583">
        <w:rPr>
          <w:rFonts w:ascii="Times New Roman" w:hAnsi="Times New Roman" w:cs="Times New Roman"/>
          <w:b/>
          <w:bCs/>
          <w:sz w:val="24"/>
          <w:szCs w:val="24"/>
        </w:rPr>
        <w:t>20.1</w:t>
      </w:r>
      <w:r w:rsidR="00834527">
        <w:rPr>
          <w:rFonts w:ascii="Times New Roman" w:hAnsi="Times New Roman" w:cs="Times New Roman"/>
          <w:b/>
          <w:bCs/>
          <w:sz w:val="24"/>
          <w:szCs w:val="24"/>
        </w:rPr>
        <w:t>4</w:t>
      </w:r>
      <w:r w:rsidRPr="00ED2583">
        <w:rPr>
          <w:rFonts w:ascii="Times New Roman" w:hAnsi="Times New Roman" w:cs="Times New Roman"/>
          <w:b/>
          <w:bCs/>
          <w:sz w:val="24"/>
          <w:szCs w:val="24"/>
        </w:rPr>
        <w:t xml:space="preserve"> Noise</w:t>
      </w:r>
    </w:p>
    <w:p w14:paraId="6C61B242" w14:textId="2873E32C" w:rsidR="00834527" w:rsidRDefault="00834527" w:rsidP="00834527">
      <w:pPr>
        <w:tabs>
          <w:tab w:val="left" w:pos="1080"/>
        </w:tabs>
        <w:spacing w:after="0"/>
        <w:rPr>
          <w:rFonts w:ascii="Times New Roman" w:hAnsi="Times New Roman" w:cs="Times New Roman"/>
          <w:b/>
          <w:bCs/>
          <w:sz w:val="24"/>
          <w:szCs w:val="24"/>
        </w:rPr>
      </w:pPr>
      <w:r w:rsidRPr="00F87F5D">
        <w:rPr>
          <w:rFonts w:ascii="Times New Roman" w:eastAsia="Calibri" w:hAnsi="Times New Roman" w:cs="Times New Roman"/>
          <w:sz w:val="24"/>
          <w:szCs w:val="24"/>
        </w:rPr>
        <w:t xml:space="preserve">No system will produce sound levels that are more than 32 decibels as measured on the dB(A) scale at the property lines of the system site.  At the time of submission of a petition to rezone, development plan review and application for permit, the owner will submit a noise study by a licensed acoustician selected by the Zoning Administrator.  This study will be paid for by the </w:t>
      </w:r>
      <w:r>
        <w:rPr>
          <w:rFonts w:ascii="Times New Roman" w:eastAsia="Calibri" w:hAnsi="Times New Roman" w:cs="Times New Roman"/>
          <w:sz w:val="24"/>
          <w:szCs w:val="24"/>
        </w:rPr>
        <w:t xml:space="preserve">applicant or </w:t>
      </w:r>
      <w:r w:rsidRPr="00F87F5D">
        <w:rPr>
          <w:rFonts w:ascii="Times New Roman" w:eastAsia="Calibri" w:hAnsi="Times New Roman" w:cs="Times New Roman"/>
          <w:sz w:val="24"/>
          <w:szCs w:val="24"/>
        </w:rPr>
        <w:t xml:space="preserve">owner.  This study will include a description and map of the project’s noise-producing features, including the range of noise level expected and the basis of the expectation, a survey and report on the potentially affected residences, schools, public </w:t>
      </w:r>
      <w:r w:rsidR="000A44A8" w:rsidRPr="00F87F5D">
        <w:rPr>
          <w:rFonts w:ascii="Times New Roman" w:eastAsia="Calibri" w:hAnsi="Times New Roman" w:cs="Times New Roman"/>
          <w:sz w:val="24"/>
          <w:szCs w:val="24"/>
        </w:rPr>
        <w:t>buildings,</w:t>
      </w:r>
      <w:r w:rsidRPr="00F87F5D">
        <w:rPr>
          <w:rFonts w:ascii="Times New Roman" w:eastAsia="Calibri" w:hAnsi="Times New Roman" w:cs="Times New Roman"/>
          <w:sz w:val="24"/>
          <w:szCs w:val="24"/>
        </w:rPr>
        <w:t xml:space="preserve"> and other noise sensitive land uses located within two (2) miles of the proposed site.  The study will include decibels for both A and C weighted scales.  The study will also include a description and map of the cumulative noise impacts and any problem areas identified and a description of the project’s proposed noise control features and specific measures proposed to mitigate noise impacts for sensitive land uses.</w:t>
      </w:r>
    </w:p>
    <w:p w14:paraId="31BD40AB" w14:textId="77777777" w:rsidR="00ED2583" w:rsidRPr="00F87F5D" w:rsidRDefault="00ED2583" w:rsidP="00ED2583">
      <w:pPr>
        <w:tabs>
          <w:tab w:val="left" w:pos="1080"/>
        </w:tabs>
        <w:spacing w:after="0"/>
        <w:rPr>
          <w:rFonts w:ascii="Times New Roman" w:eastAsia="Calibri" w:hAnsi="Times New Roman" w:cs="Times New Roman"/>
          <w:b/>
          <w:bCs/>
          <w:sz w:val="24"/>
          <w:szCs w:val="24"/>
        </w:rPr>
      </w:pPr>
    </w:p>
    <w:p w14:paraId="0A6039E6" w14:textId="2A471AB2" w:rsidR="00ED2583" w:rsidRDefault="00ED2583" w:rsidP="00ED2583">
      <w:pPr>
        <w:tabs>
          <w:tab w:val="left" w:pos="1080"/>
        </w:tabs>
        <w:spacing w:after="0"/>
        <w:rPr>
          <w:rFonts w:ascii="Times New Roman" w:eastAsia="Calibri" w:hAnsi="Times New Roman" w:cs="Times New Roman"/>
          <w:sz w:val="24"/>
          <w:szCs w:val="24"/>
        </w:rPr>
      </w:pPr>
      <w:r>
        <w:rPr>
          <w:rFonts w:ascii="Times New Roman" w:eastAsia="Calibri" w:hAnsi="Times New Roman" w:cs="Times New Roman"/>
          <w:b/>
          <w:bCs/>
          <w:sz w:val="24"/>
          <w:szCs w:val="24"/>
        </w:rPr>
        <w:t>20.1</w:t>
      </w:r>
      <w:r w:rsidR="00834527">
        <w:rPr>
          <w:rFonts w:ascii="Times New Roman" w:eastAsia="Calibri" w:hAnsi="Times New Roman" w:cs="Times New Roman"/>
          <w:b/>
          <w:bCs/>
          <w:sz w:val="24"/>
          <w:szCs w:val="24"/>
        </w:rPr>
        <w:t>5</w:t>
      </w:r>
      <w:r w:rsidRPr="00F87F5D">
        <w:rPr>
          <w:rFonts w:ascii="Times New Roman" w:eastAsia="Calibri" w:hAnsi="Times New Roman" w:cs="Times New Roman"/>
          <w:b/>
          <w:bCs/>
          <w:sz w:val="24"/>
          <w:szCs w:val="24"/>
        </w:rPr>
        <w:t xml:space="preserve"> Height Limitations</w:t>
      </w:r>
    </w:p>
    <w:p w14:paraId="3408EF80" w14:textId="77777777" w:rsidR="00ED2583" w:rsidRDefault="00ED2583" w:rsidP="00ED2583">
      <w:pPr>
        <w:tabs>
          <w:tab w:val="left" w:pos="1080"/>
        </w:tabs>
        <w:spacing w:after="0"/>
        <w:rPr>
          <w:rFonts w:ascii="Times New Roman" w:eastAsia="Calibri" w:hAnsi="Times New Roman" w:cs="Times New Roman"/>
          <w:sz w:val="24"/>
          <w:szCs w:val="24"/>
        </w:rPr>
      </w:pPr>
    </w:p>
    <w:p w14:paraId="6AF915F0" w14:textId="2EAE9BE1" w:rsidR="00ED2583" w:rsidRPr="00F87F5D" w:rsidRDefault="00ED2583" w:rsidP="00ED2583">
      <w:pPr>
        <w:tabs>
          <w:tab w:val="left" w:pos="1080"/>
        </w:tabs>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Battery Energy Storage Systems </w:t>
      </w:r>
      <w:r w:rsidRPr="00F87F5D">
        <w:rPr>
          <w:rFonts w:ascii="Times New Roman" w:eastAsia="Calibri" w:hAnsi="Times New Roman" w:cs="Times New Roman"/>
          <w:sz w:val="24"/>
          <w:szCs w:val="24"/>
        </w:rPr>
        <w:t xml:space="preserve">may not exceed twenty (20) feet in height as measured from the natural grade to the top of the </w:t>
      </w:r>
      <w:r>
        <w:rPr>
          <w:rFonts w:ascii="Times New Roman" w:eastAsia="Calibri" w:hAnsi="Times New Roman" w:cs="Times New Roman"/>
          <w:sz w:val="24"/>
          <w:szCs w:val="24"/>
        </w:rPr>
        <w:t>system apparatus</w:t>
      </w:r>
      <w:r w:rsidRPr="00F87F5D">
        <w:rPr>
          <w:rFonts w:ascii="Times New Roman" w:eastAsia="Calibri" w:hAnsi="Times New Roman" w:cs="Times New Roman"/>
          <w:sz w:val="24"/>
          <w:szCs w:val="24"/>
        </w:rPr>
        <w:t xml:space="preserve">.  </w:t>
      </w:r>
    </w:p>
    <w:p w14:paraId="30930763" w14:textId="77777777" w:rsidR="00ED2583" w:rsidRPr="00F87F5D" w:rsidRDefault="00ED2583" w:rsidP="00ED2583">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r>
    </w:p>
    <w:p w14:paraId="138F2920" w14:textId="77777777" w:rsidR="00ED2583" w:rsidRPr="00F87F5D" w:rsidRDefault="00ED2583" w:rsidP="00ED2583">
      <w:pPr>
        <w:tabs>
          <w:tab w:val="left" w:pos="1080"/>
        </w:tabs>
        <w:spacing w:after="0"/>
        <w:rPr>
          <w:rFonts w:ascii="Times New Roman" w:eastAsia="Calibri" w:hAnsi="Times New Roman" w:cs="Times New Roman"/>
          <w:sz w:val="24"/>
          <w:szCs w:val="24"/>
        </w:rPr>
      </w:pPr>
    </w:p>
    <w:p w14:paraId="41CD73C1" w14:textId="6896CA60" w:rsidR="00ED2583" w:rsidRPr="00F87F5D" w:rsidRDefault="0075057C" w:rsidP="00ED2583">
      <w:pPr>
        <w:tabs>
          <w:tab w:val="left" w:pos="1080"/>
        </w:tabs>
        <w:spacing w:after="0"/>
        <w:rPr>
          <w:rFonts w:ascii="Times New Roman" w:eastAsia="Calibri" w:hAnsi="Times New Roman" w:cs="Times New Roman"/>
          <w:sz w:val="24"/>
          <w:szCs w:val="24"/>
        </w:rPr>
      </w:pPr>
      <w:r>
        <w:rPr>
          <w:rFonts w:ascii="Times New Roman" w:eastAsia="Calibri" w:hAnsi="Times New Roman" w:cs="Times New Roman"/>
          <w:b/>
          <w:bCs/>
          <w:sz w:val="24"/>
          <w:szCs w:val="24"/>
        </w:rPr>
        <w:t>20.1</w:t>
      </w:r>
      <w:r w:rsidR="00834527">
        <w:rPr>
          <w:rFonts w:ascii="Times New Roman" w:eastAsia="Calibri" w:hAnsi="Times New Roman" w:cs="Times New Roman"/>
          <w:b/>
          <w:bCs/>
          <w:sz w:val="24"/>
          <w:szCs w:val="24"/>
        </w:rPr>
        <w:t>6</w:t>
      </w:r>
      <w:r w:rsidR="00ED2583" w:rsidRPr="00F87F5D">
        <w:rPr>
          <w:rFonts w:ascii="Times New Roman" w:eastAsia="Calibri" w:hAnsi="Times New Roman" w:cs="Times New Roman"/>
          <w:b/>
          <w:bCs/>
          <w:sz w:val="24"/>
          <w:szCs w:val="24"/>
        </w:rPr>
        <w:t xml:space="preserve"> Legal Drains</w:t>
      </w:r>
      <w:r w:rsidR="00ED2583" w:rsidRPr="00F87F5D">
        <w:rPr>
          <w:rFonts w:ascii="Times New Roman" w:eastAsia="Calibri" w:hAnsi="Times New Roman" w:cs="Times New Roman"/>
          <w:sz w:val="24"/>
          <w:szCs w:val="24"/>
        </w:rPr>
        <w:t xml:space="preserve">:  No </w:t>
      </w:r>
      <w:r>
        <w:rPr>
          <w:rFonts w:ascii="Times New Roman" w:eastAsia="Calibri" w:hAnsi="Times New Roman" w:cs="Times New Roman"/>
          <w:sz w:val="24"/>
          <w:szCs w:val="24"/>
        </w:rPr>
        <w:t xml:space="preserve">battery energy storage </w:t>
      </w:r>
      <w:r w:rsidR="00ED2583" w:rsidRPr="00F87F5D">
        <w:rPr>
          <w:rFonts w:ascii="Times New Roman" w:eastAsia="Calibri" w:hAnsi="Times New Roman" w:cs="Times New Roman"/>
          <w:sz w:val="24"/>
          <w:szCs w:val="24"/>
        </w:rPr>
        <w:t>system may encroach upon the seventy-five (75) foot easement of any legal drain or ditch.  If the construction of the system requires the relocation of any legal drain or ditch, such relocation must be approved by the Montgomery County Drainage Board.</w:t>
      </w:r>
    </w:p>
    <w:p w14:paraId="01DE7F18" w14:textId="77777777" w:rsidR="00ED2583" w:rsidRPr="00F87F5D" w:rsidRDefault="00ED2583" w:rsidP="00ED2583">
      <w:pPr>
        <w:tabs>
          <w:tab w:val="left" w:pos="1080"/>
        </w:tabs>
        <w:spacing w:after="0"/>
        <w:rPr>
          <w:rFonts w:ascii="Times New Roman" w:eastAsia="Calibri" w:hAnsi="Times New Roman" w:cs="Times New Roman"/>
          <w:sz w:val="24"/>
          <w:szCs w:val="24"/>
        </w:rPr>
      </w:pPr>
    </w:p>
    <w:p w14:paraId="4FBE763D" w14:textId="28CEA962" w:rsidR="00ED2583" w:rsidRPr="00F87F5D" w:rsidRDefault="0075057C" w:rsidP="00ED2583">
      <w:pPr>
        <w:tabs>
          <w:tab w:val="left" w:pos="1080"/>
        </w:tabs>
        <w:spacing w:after="0"/>
        <w:rPr>
          <w:rFonts w:ascii="Times New Roman" w:eastAsia="Calibri" w:hAnsi="Times New Roman" w:cs="Times New Roman"/>
          <w:sz w:val="24"/>
          <w:szCs w:val="24"/>
        </w:rPr>
      </w:pPr>
      <w:r>
        <w:rPr>
          <w:rFonts w:ascii="Times New Roman" w:eastAsia="Calibri" w:hAnsi="Times New Roman" w:cs="Times New Roman"/>
          <w:b/>
          <w:bCs/>
          <w:sz w:val="24"/>
          <w:szCs w:val="24"/>
        </w:rPr>
        <w:t>20.1</w:t>
      </w:r>
      <w:r w:rsidR="00834527">
        <w:rPr>
          <w:rFonts w:ascii="Times New Roman" w:eastAsia="Calibri" w:hAnsi="Times New Roman" w:cs="Times New Roman"/>
          <w:b/>
          <w:bCs/>
          <w:sz w:val="24"/>
          <w:szCs w:val="24"/>
        </w:rPr>
        <w:t>7</w:t>
      </w:r>
      <w:r w:rsidR="00ED2583" w:rsidRPr="00F87F5D">
        <w:rPr>
          <w:rFonts w:ascii="Times New Roman" w:eastAsia="Calibri" w:hAnsi="Times New Roman" w:cs="Times New Roman"/>
          <w:b/>
          <w:bCs/>
          <w:sz w:val="24"/>
          <w:szCs w:val="24"/>
        </w:rPr>
        <w:t xml:space="preserve"> Private and Mutual Drains</w:t>
      </w:r>
      <w:r w:rsidR="00ED2583" w:rsidRPr="00F87F5D">
        <w:rPr>
          <w:rFonts w:ascii="Times New Roman" w:eastAsia="Calibri" w:hAnsi="Times New Roman" w:cs="Times New Roman"/>
          <w:sz w:val="24"/>
          <w:szCs w:val="24"/>
        </w:rPr>
        <w:t xml:space="preserve">:  No </w:t>
      </w:r>
      <w:r>
        <w:rPr>
          <w:rFonts w:ascii="Times New Roman" w:eastAsia="Calibri" w:hAnsi="Times New Roman" w:cs="Times New Roman"/>
          <w:sz w:val="24"/>
          <w:szCs w:val="24"/>
        </w:rPr>
        <w:t>battery energy storage</w:t>
      </w:r>
      <w:r w:rsidR="00ED2583" w:rsidRPr="00F87F5D">
        <w:rPr>
          <w:rFonts w:ascii="Times New Roman" w:eastAsia="Calibri" w:hAnsi="Times New Roman" w:cs="Times New Roman"/>
          <w:sz w:val="24"/>
          <w:szCs w:val="24"/>
        </w:rPr>
        <w:t xml:space="preserve"> system may encroach upon any private or mutual drain or ditch.  If the construction of the system requires the relocation of any private or mutual drain or ditch, such relocation must be approved by the parties to the private or mutual drain or ditch, performed at the expense of the operator, and relocated in a manner so as not to materially impede the function of the drain or ditch. This obligation to refrain from encroaching upon any private or mutual drain or ditch continues and applies even if the encroachment is discovered after construction of the project.</w:t>
      </w:r>
    </w:p>
    <w:p w14:paraId="58CAD6AE" w14:textId="77777777" w:rsidR="00ED2583" w:rsidRPr="00F87F5D" w:rsidRDefault="00ED2583" w:rsidP="00ED2583">
      <w:pPr>
        <w:tabs>
          <w:tab w:val="left" w:pos="1080"/>
        </w:tabs>
        <w:spacing w:after="0"/>
        <w:rPr>
          <w:rFonts w:ascii="Times New Roman" w:eastAsia="Calibri" w:hAnsi="Times New Roman" w:cs="Times New Roman"/>
          <w:sz w:val="24"/>
          <w:szCs w:val="24"/>
        </w:rPr>
      </w:pPr>
    </w:p>
    <w:p w14:paraId="637262EF" w14:textId="77777777" w:rsidR="00ED2583" w:rsidRPr="00F87F5D" w:rsidRDefault="00ED2583" w:rsidP="00ED2583">
      <w:pPr>
        <w:tabs>
          <w:tab w:val="left" w:pos="1080"/>
        </w:tabs>
        <w:spacing w:after="0"/>
        <w:rPr>
          <w:rFonts w:ascii="Times New Roman" w:eastAsia="Calibri" w:hAnsi="Times New Roman" w:cs="Times New Roman"/>
          <w:sz w:val="24"/>
          <w:szCs w:val="24"/>
        </w:rPr>
      </w:pPr>
    </w:p>
    <w:p w14:paraId="3B182427" w14:textId="2DC50846" w:rsidR="00ED2583" w:rsidRPr="00F87F5D" w:rsidRDefault="00833F15" w:rsidP="00ED2583">
      <w:pPr>
        <w:tabs>
          <w:tab w:val="left" w:pos="1080"/>
        </w:tabs>
        <w:spacing w:after="0"/>
        <w:rPr>
          <w:rFonts w:ascii="Times New Roman" w:eastAsia="Calibri" w:hAnsi="Times New Roman" w:cs="Times New Roman"/>
          <w:sz w:val="24"/>
          <w:szCs w:val="24"/>
        </w:rPr>
      </w:pPr>
      <w:r w:rsidRPr="00833F15">
        <w:rPr>
          <w:rFonts w:ascii="Times New Roman" w:eastAsia="Calibri" w:hAnsi="Times New Roman" w:cs="Times New Roman"/>
          <w:b/>
          <w:bCs/>
          <w:sz w:val="24"/>
          <w:szCs w:val="24"/>
        </w:rPr>
        <w:t>20.18</w:t>
      </w:r>
      <w:r w:rsidR="00ED2583" w:rsidRPr="00833F15">
        <w:rPr>
          <w:rFonts w:ascii="Times New Roman" w:eastAsia="Calibri" w:hAnsi="Times New Roman" w:cs="Times New Roman"/>
          <w:b/>
          <w:bCs/>
          <w:sz w:val="24"/>
          <w:szCs w:val="24"/>
        </w:rPr>
        <w:t xml:space="preserve"> Enforcement</w:t>
      </w:r>
      <w:r w:rsidR="00ED2583" w:rsidRPr="00F87F5D">
        <w:rPr>
          <w:rFonts w:ascii="Times New Roman" w:eastAsia="Calibri" w:hAnsi="Times New Roman" w:cs="Times New Roman"/>
          <w:sz w:val="24"/>
          <w:szCs w:val="24"/>
        </w:rPr>
        <w:t>: In the event of a violation of this Section, the Zoning Administrator may enforce the Ordinance using the rights and remedies provided for in Section 5.04 of the Zoning Ordinance.</w:t>
      </w:r>
    </w:p>
    <w:sectPr w:rsidR="00ED2583" w:rsidRPr="00F87F5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79309" w14:textId="77777777" w:rsidR="006B2581" w:rsidRDefault="006B2581" w:rsidP="006B2581">
      <w:pPr>
        <w:spacing w:after="0" w:line="240" w:lineRule="auto"/>
      </w:pPr>
      <w:r>
        <w:separator/>
      </w:r>
    </w:p>
  </w:endnote>
  <w:endnote w:type="continuationSeparator" w:id="0">
    <w:p w14:paraId="24B15879" w14:textId="77777777" w:rsidR="006B2581" w:rsidRDefault="006B2581" w:rsidP="006B2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3766203"/>
      <w:docPartObj>
        <w:docPartGallery w:val="Page Numbers (Bottom of Page)"/>
        <w:docPartUnique/>
      </w:docPartObj>
    </w:sdtPr>
    <w:sdtEndPr>
      <w:rPr>
        <w:noProof/>
      </w:rPr>
    </w:sdtEndPr>
    <w:sdtContent>
      <w:p w14:paraId="337BA186" w14:textId="7339A8DE" w:rsidR="006B2581" w:rsidRDefault="006B25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9C5FE2" w14:textId="77777777" w:rsidR="006B2581" w:rsidRDefault="006B2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5BCA7" w14:textId="77777777" w:rsidR="006B2581" w:rsidRDefault="006B2581" w:rsidP="006B2581">
      <w:pPr>
        <w:spacing w:after="0" w:line="240" w:lineRule="auto"/>
      </w:pPr>
      <w:r>
        <w:separator/>
      </w:r>
    </w:p>
  </w:footnote>
  <w:footnote w:type="continuationSeparator" w:id="0">
    <w:p w14:paraId="2E922C51" w14:textId="77777777" w:rsidR="006B2581" w:rsidRDefault="006B2581" w:rsidP="006B2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3645B"/>
    <w:multiLevelType w:val="hybridMultilevel"/>
    <w:tmpl w:val="9A4A7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096980"/>
    <w:multiLevelType w:val="hybridMultilevel"/>
    <w:tmpl w:val="210E8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0212360">
    <w:abstractNumId w:val="0"/>
  </w:num>
  <w:num w:numId="2" w16cid:durableId="83771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C8A"/>
    <w:rsid w:val="000A44A8"/>
    <w:rsid w:val="000C07CB"/>
    <w:rsid w:val="00111C79"/>
    <w:rsid w:val="00145020"/>
    <w:rsid w:val="00153E62"/>
    <w:rsid w:val="00155BEC"/>
    <w:rsid w:val="00181F87"/>
    <w:rsid w:val="003A78F5"/>
    <w:rsid w:val="00560DBF"/>
    <w:rsid w:val="00654C8A"/>
    <w:rsid w:val="006824BE"/>
    <w:rsid w:val="006B2581"/>
    <w:rsid w:val="0075057C"/>
    <w:rsid w:val="00833F15"/>
    <w:rsid w:val="00834527"/>
    <w:rsid w:val="00947613"/>
    <w:rsid w:val="009A105B"/>
    <w:rsid w:val="009E6E81"/>
    <w:rsid w:val="00A148DC"/>
    <w:rsid w:val="00A6591A"/>
    <w:rsid w:val="00B32B91"/>
    <w:rsid w:val="00B81E18"/>
    <w:rsid w:val="00BC60E2"/>
    <w:rsid w:val="00C42F00"/>
    <w:rsid w:val="00D052E4"/>
    <w:rsid w:val="00D92969"/>
    <w:rsid w:val="00ED2583"/>
    <w:rsid w:val="00EE2A63"/>
    <w:rsid w:val="00FF5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584CE"/>
  <w15:chartTrackingRefBased/>
  <w15:docId w15:val="{04AEC138-D1C3-47C6-8410-D6DB728A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C8A"/>
    <w:pPr>
      <w:ind w:left="720"/>
      <w:contextualSpacing/>
    </w:pPr>
  </w:style>
  <w:style w:type="character" w:styleId="Strong">
    <w:name w:val="Strong"/>
    <w:basedOn w:val="DefaultParagraphFont"/>
    <w:uiPriority w:val="22"/>
    <w:qFormat/>
    <w:rsid w:val="00654C8A"/>
    <w:rPr>
      <w:b/>
      <w:bCs/>
    </w:rPr>
  </w:style>
  <w:style w:type="table" w:styleId="TableGrid">
    <w:name w:val="Table Grid"/>
    <w:basedOn w:val="TableNormal"/>
    <w:uiPriority w:val="39"/>
    <w:rsid w:val="00ED2583"/>
    <w:pPr>
      <w:spacing w:after="0" w:line="240" w:lineRule="auto"/>
    </w:pPr>
    <w:rPr>
      <w:rFonts w:ascii="Georgia" w:eastAsia="Calibri" w:hAnsi="Georgia"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D25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2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581"/>
  </w:style>
  <w:style w:type="paragraph" w:styleId="Footer">
    <w:name w:val="footer"/>
    <w:basedOn w:val="Normal"/>
    <w:link w:val="FooterChar"/>
    <w:uiPriority w:val="99"/>
    <w:unhideWhenUsed/>
    <w:rsid w:val="006B2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1747</Words>
  <Characters>9961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 Cron</dc:creator>
  <cp:keywords/>
  <dc:description/>
  <cp:lastModifiedBy>Dan Taylor</cp:lastModifiedBy>
  <cp:revision>5</cp:revision>
  <cp:lastPrinted>2024-07-16T15:37:00Z</cp:lastPrinted>
  <dcterms:created xsi:type="dcterms:W3CDTF">2024-08-09T13:46:00Z</dcterms:created>
  <dcterms:modified xsi:type="dcterms:W3CDTF">2024-08-12T00:59:00Z</dcterms:modified>
</cp:coreProperties>
</file>